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060F71" w:rsidRDefault="00334BA7" w:rsidP="00334BA7">
      <w:pPr>
        <w:jc w:val="right"/>
        <w:rPr>
          <w:sz w:val="28"/>
        </w:rPr>
      </w:pPr>
      <w:r>
        <w:rPr>
          <w:sz w:val="28"/>
        </w:rPr>
        <w:t xml:space="preserve">(в ред. </w:t>
      </w:r>
      <w:r w:rsidRPr="00FA2687">
        <w:rPr>
          <w:i/>
          <w:color w:val="FF0000"/>
          <w:sz w:val="28"/>
        </w:rPr>
        <w:t>Дополнительного соглашения № 1 от 17.03.2025</w:t>
      </w:r>
      <w:r w:rsidRPr="00EF282C">
        <w:rPr>
          <w:sz w:val="28"/>
        </w:rPr>
        <w:t>)</w:t>
      </w:r>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r w:rsidRPr="00DD685C">
        <w:rPr>
          <w:sz w:val="28"/>
          <w:szCs w:val="28"/>
        </w:rPr>
        <w:t xml:space="preserve">страховые медицинские организации, осуществляющие деятельность </w:t>
      </w:r>
      <w:proofErr w:type="gramStart"/>
      <w:r w:rsidRPr="00DD685C">
        <w:rPr>
          <w:sz w:val="28"/>
          <w:szCs w:val="28"/>
        </w:rPr>
        <w:t>в</w:t>
      </w:r>
      <w:proofErr w:type="gramEnd"/>
      <w:r w:rsidRPr="00DD685C">
        <w:rPr>
          <w:sz w:val="28"/>
          <w:szCs w:val="28"/>
        </w:rPr>
        <w:t xml:space="preserve"> </w:t>
      </w:r>
      <w:proofErr w:type="gramStart"/>
      <w:r w:rsidRPr="00DD685C">
        <w:rPr>
          <w:sz w:val="28"/>
          <w:szCs w:val="28"/>
        </w:rPr>
        <w:t xml:space="preserve">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w:t>
      </w:r>
      <w:r w:rsidRPr="00DD685C">
        <w:rPr>
          <w:sz w:val="28"/>
          <w:szCs w:val="28"/>
        </w:rPr>
        <w:lastRenderedPageBreak/>
        <w:t>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lastRenderedPageBreak/>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xml:space="preserve">, а также за исключением случаев, когда в </w:t>
      </w:r>
      <w:r w:rsidR="00D536D3" w:rsidRPr="00DD685C">
        <w:rPr>
          <w:rFonts w:ascii="Times New Roman" w:hAnsi="Times New Roman" w:cs="Times New Roman"/>
          <w:sz w:val="28"/>
          <w:szCs w:val="28"/>
        </w:rPr>
        <w:lastRenderedPageBreak/>
        <w:t>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w:t>
      </w:r>
      <w:r w:rsidR="00990E46" w:rsidRPr="00DD685C">
        <w:rPr>
          <w:rFonts w:ascii="Times New Roman" w:hAnsi="Times New Roman" w:cs="Times New Roman"/>
          <w:sz w:val="28"/>
          <w:szCs w:val="28"/>
        </w:rPr>
        <w:lastRenderedPageBreak/>
        <w:t xml:space="preserve">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w:t>
      </w:r>
      <w:proofErr w:type="gramStart"/>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A627DA" w:rsidRPr="00DD685C">
        <w:rPr>
          <w:rFonts w:ascii="Times New Roman" w:hAnsi="Times New Roman" w:cs="Times New Roman"/>
          <w:sz w:val="28"/>
          <w:szCs w:val="28"/>
        </w:rPr>
        <w:t>«Хирургия», «Эндокринология»,</w:t>
      </w:r>
      <w:r w:rsidR="008A5605"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 xml:space="preserve">медицинскими работниками со средним медицинским образованием, ведущих самостоятельный амбулаторный прием (за исключением </w:t>
      </w:r>
      <w:r w:rsidR="008A5605" w:rsidRPr="00DD685C">
        <w:rPr>
          <w:rFonts w:ascii="Times New Roman" w:hAnsi="Times New Roman" w:cs="Times New Roman"/>
          <w:sz w:val="28"/>
          <w:szCs w:val="28"/>
        </w:rPr>
        <w:lastRenderedPageBreak/>
        <w:t>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proofErr w:type="gramEnd"/>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w:t>
      </w:r>
      <w:r w:rsidRPr="00334BA7">
        <w:rPr>
          <w:i/>
          <w:color w:val="00CC66"/>
          <w:sz w:val="28"/>
          <w:szCs w:val="28"/>
        </w:rPr>
        <w:t>я</w:t>
      </w:r>
      <w:proofErr w:type="gramStart"/>
      <w:r w:rsidRPr="00334BA7">
        <w:rPr>
          <w:i/>
          <w:color w:val="00CC66"/>
          <w:sz w:val="28"/>
          <w:szCs w:val="28"/>
        </w:rPr>
        <w:t>.</w:t>
      </w:r>
      <w:proofErr w:type="gramEnd"/>
      <w:r w:rsidRPr="00334BA7">
        <w:rPr>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bookmarkStart w:id="0" w:name="_GoBack"/>
      <w:bookmarkEnd w:id="0"/>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1" w:name="_Hlk152237148"/>
      <w:r w:rsidR="00902B6A" w:rsidRPr="00DD685C">
        <w:rPr>
          <w:rFonts w:ascii="Times New Roman" w:hAnsi="Times New Roman"/>
          <w:color w:val="000000" w:themeColor="text1"/>
          <w:sz w:val="28"/>
        </w:rPr>
        <w:t>здравпункт</w:t>
      </w:r>
      <w:bookmarkEnd w:id="1"/>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w:t>
      </w:r>
      <w:r w:rsidR="00836428" w:rsidRPr="00DD685C">
        <w:rPr>
          <w:sz w:val="28"/>
          <w:szCs w:val="28"/>
        </w:rPr>
        <w:lastRenderedPageBreak/>
        <w:t xml:space="preserve">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4B2A5B" w:rsidRPr="00DD685C">
        <w:rPr>
          <w:color w:val="000000" w:themeColor="text1"/>
          <w:sz w:val="28"/>
          <w:szCs w:val="28"/>
        </w:rPr>
        <w:t xml:space="preserve">1 477,94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4B2A5B" w:rsidRPr="00DD685C">
        <w:rPr>
          <w:rFonts w:ascii="Times New Roman" w:hAnsi="Times New Roman" w:cs="Times New Roman"/>
          <w:color w:val="000000" w:themeColor="text1"/>
          <w:sz w:val="28"/>
          <w:szCs w:val="28"/>
        </w:rPr>
        <w:t>420,07</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lastRenderedPageBreak/>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DD685C">
        <w:rPr>
          <w:rFonts w:ascii="Times New Roman" w:hAnsi="Times New Roman" w:cs="Times New Roman"/>
          <w:sz w:val="28"/>
        </w:rPr>
        <w:t>50 227,44</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1B5C2A" w:rsidRPr="00DD685C">
        <w:rPr>
          <w:rFonts w:ascii="Times New Roman" w:hAnsi="Times New Roman" w:cs="Times New Roman"/>
          <w:sz w:val="28"/>
        </w:rPr>
        <w:t>33 574,49</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w:t>
      </w:r>
      <w:r w:rsidR="009C66CC" w:rsidRPr="00DD685C">
        <w:rPr>
          <w:sz w:val="28"/>
          <w:szCs w:val="28"/>
        </w:rPr>
        <w:lastRenderedPageBreak/>
        <w:t xml:space="preserve">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1B5C2A" w:rsidRPr="00DD685C">
        <w:rPr>
          <w:sz w:val="28"/>
        </w:rPr>
        <w:t>27 178,89</w:t>
      </w:r>
      <w:r w:rsidRPr="00DD685C">
        <w:rPr>
          <w:sz w:val="28"/>
        </w:rPr>
        <w:t xml:space="preserve"> 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1B5C2A" w:rsidRPr="00DD685C">
        <w:rPr>
          <w:sz w:val="28"/>
        </w:rPr>
        <w:t>18 167,71</w:t>
      </w:r>
      <w:r w:rsidRPr="00DD685C">
        <w:rPr>
          <w:sz w:val="28"/>
        </w:rPr>
        <w:t xml:space="preserve"> 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lastRenderedPageBreak/>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t xml:space="preserve">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w:t>
      </w:r>
      <w:r w:rsidRPr="00DD685C">
        <w:rPr>
          <w:rFonts w:eastAsiaTheme="minorHAnsi"/>
          <w:color w:val="000000" w:themeColor="text1"/>
          <w:lang w:eastAsia="en-US"/>
        </w:rPr>
        <w:lastRenderedPageBreak/>
        <w:t>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w:t>
      </w:r>
      <w:r w:rsidRPr="00DD685C">
        <w:rPr>
          <w:rFonts w:ascii="Times New Roman" w:eastAsiaTheme="minorHAnsi" w:hAnsi="Times New Roman" w:cs="Times New Roman"/>
          <w:sz w:val="28"/>
          <w:szCs w:val="28"/>
        </w:rPr>
        <w:lastRenderedPageBreak/>
        <w:t xml:space="preserve">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w:t>
      </w:r>
      <w:r w:rsidR="00620534" w:rsidRPr="00DD685C">
        <w:rPr>
          <w:rFonts w:eastAsiaTheme="minorHAnsi"/>
          <w:sz w:val="28"/>
          <w:szCs w:val="28"/>
          <w:lang w:eastAsia="en-US"/>
        </w:rPr>
        <w:lastRenderedPageBreak/>
        <w:t>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lastRenderedPageBreak/>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BA45D0" w:rsidRPr="00DD685C">
        <w:rPr>
          <w:bCs/>
          <w:color w:val="000000"/>
          <w:sz w:val="28"/>
          <w:szCs w:val="28"/>
        </w:rPr>
        <w:lastRenderedPageBreak/>
        <w:t>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w:t>
      </w:r>
      <w:r w:rsidRPr="00DD685C">
        <w:rPr>
          <w:bCs/>
          <w:color w:val="000000"/>
        </w:rPr>
        <w:lastRenderedPageBreak/>
        <w:t>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lastRenderedPageBreak/>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lastRenderedPageBreak/>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lastRenderedPageBreak/>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lastRenderedPageBreak/>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E07857" w:rsidRPr="00DD685C" w:rsidRDefault="007C15E1" w:rsidP="0033041F">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Pr="00DD685C" w:rsidRDefault="009B78CE" w:rsidP="00C41318">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4</w:t>
      </w:r>
      <w:r w:rsidRPr="00DD685C">
        <w:rPr>
          <w:color w:val="000000" w:themeColor="text1"/>
        </w:rPr>
        <w:t xml:space="preserve"> </w:t>
      </w:r>
      <w:r w:rsidR="00C41318" w:rsidRPr="00DD685C">
        <w:rPr>
          <w:color w:val="000000" w:themeColor="text1"/>
        </w:rPr>
        <w:t xml:space="preserve">Таблица 1 </w:t>
      </w:r>
      <w:r w:rsidRPr="00DD685C">
        <w:rPr>
          <w:color w:val="000000" w:themeColor="text1"/>
        </w:rPr>
        <w:t xml:space="preserve">«Тарифы на ультразвуковые исследования беременных для проведения </w:t>
      </w:r>
      <w:proofErr w:type="spellStart"/>
      <w:r w:rsidRPr="00DD685C">
        <w:rPr>
          <w:color w:val="000000" w:themeColor="text1"/>
        </w:rPr>
        <w:t>межучреж</w:t>
      </w:r>
      <w:r w:rsidR="009B67A5" w:rsidRPr="00DD685C">
        <w:rPr>
          <w:color w:val="000000" w:themeColor="text1"/>
        </w:rPr>
        <w:t>денческих</w:t>
      </w:r>
      <w:proofErr w:type="spellEnd"/>
      <w:r w:rsidR="009B67A5" w:rsidRPr="00DD685C">
        <w:rPr>
          <w:color w:val="000000" w:themeColor="text1"/>
        </w:rPr>
        <w:t xml:space="preserve"> </w:t>
      </w:r>
      <w:r w:rsidR="00C41318" w:rsidRPr="00DD685C">
        <w:rPr>
          <w:color w:val="000000" w:themeColor="text1"/>
        </w:rPr>
        <w:t xml:space="preserve">и межтерриториальных </w:t>
      </w:r>
      <w:r w:rsidR="009B67A5" w:rsidRPr="00DD685C">
        <w:rPr>
          <w:color w:val="000000" w:themeColor="text1"/>
        </w:rPr>
        <w:t>расчетов на 202</w:t>
      </w:r>
      <w:r w:rsidR="00DD685C" w:rsidRPr="00DD685C">
        <w:rPr>
          <w:color w:val="000000" w:themeColor="text1"/>
        </w:rPr>
        <w:t>5</w:t>
      </w:r>
      <w:r w:rsidR="009B67A5" w:rsidRPr="00DD685C">
        <w:rPr>
          <w:color w:val="000000" w:themeColor="text1"/>
        </w:rPr>
        <w:t xml:space="preserve"> год»;</w:t>
      </w:r>
      <w:r w:rsidR="00C41318" w:rsidRPr="00DD685C">
        <w:rPr>
          <w:color w:val="000000" w:themeColor="text1"/>
        </w:rPr>
        <w:t xml:space="preserve"> Таблица 2 «Тарифы на исследование уровня </w:t>
      </w:r>
      <w:proofErr w:type="spellStart"/>
      <w:r w:rsidR="00C41318" w:rsidRPr="00DD685C">
        <w:rPr>
          <w:color w:val="000000" w:themeColor="text1"/>
        </w:rPr>
        <w:t>связанногго</w:t>
      </w:r>
      <w:proofErr w:type="spellEnd"/>
      <w:r w:rsidR="00C41318" w:rsidRPr="00DD685C">
        <w:rPr>
          <w:color w:val="000000" w:themeColor="text1"/>
        </w:rPr>
        <w:t xml:space="preserve"> с беременностью плазменного протеина</w:t>
      </w:r>
      <w:proofErr w:type="gramStart"/>
      <w:r w:rsidR="001B2B44">
        <w:rPr>
          <w:color w:val="000000" w:themeColor="text1"/>
        </w:rPr>
        <w:br/>
      </w:r>
      <w:r w:rsidR="00C41318" w:rsidRPr="00DD685C">
        <w:rPr>
          <w:color w:val="000000" w:themeColor="text1"/>
        </w:rPr>
        <w:t>А</w:t>
      </w:r>
      <w:proofErr w:type="gramEnd"/>
      <w:r w:rsidR="00C41318" w:rsidRPr="00DD685C">
        <w:rPr>
          <w:color w:val="000000" w:themeColor="text1"/>
        </w:rPr>
        <w:t xml:space="preserve"> (РАРР-А) в сыворотке крови и исследование уровня хорионического </w:t>
      </w:r>
      <w:r w:rsidR="00C41318" w:rsidRPr="00DD685C">
        <w:rPr>
          <w:color w:val="000000" w:themeColor="text1"/>
        </w:rPr>
        <w:lastRenderedPageBreak/>
        <w:t>гонадотропина (свободного бета-субъединица) в сы</w:t>
      </w:r>
      <w:r w:rsidR="001B2B44">
        <w:rPr>
          <w:color w:val="000000" w:themeColor="text1"/>
        </w:rPr>
        <w:t>в</w:t>
      </w:r>
      <w:r w:rsidR="00C41318" w:rsidRPr="00DD685C">
        <w:rPr>
          <w:color w:val="000000" w:themeColor="text1"/>
        </w:rPr>
        <w:t xml:space="preserve">оротке крови для проведения </w:t>
      </w:r>
      <w:proofErr w:type="spellStart"/>
      <w:r w:rsidR="00C41318" w:rsidRPr="00DD685C">
        <w:rPr>
          <w:color w:val="000000" w:themeColor="text1"/>
        </w:rPr>
        <w:t>межучрежденческих</w:t>
      </w:r>
      <w:proofErr w:type="spellEnd"/>
      <w:r w:rsidR="00C41318" w:rsidRPr="00DD685C">
        <w:rPr>
          <w:color w:val="000000" w:themeColor="text1"/>
        </w:rPr>
        <w:t xml:space="preserve"> и межтерриториальных расчетов на 202</w:t>
      </w:r>
      <w:r w:rsidR="00DD685C" w:rsidRPr="00DD685C">
        <w:rPr>
          <w:color w:val="000000" w:themeColor="text1"/>
        </w:rPr>
        <w:t>5</w:t>
      </w:r>
      <w:r w:rsidR="00C41318" w:rsidRPr="00DD685C">
        <w:rPr>
          <w:color w:val="000000" w:themeColor="text1"/>
        </w:rPr>
        <w:t xml:space="preserve"> год</w:t>
      </w:r>
      <w:r w:rsidR="00DD685C" w:rsidRPr="00DD685C">
        <w:rPr>
          <w:color w:val="000000" w:themeColor="text1"/>
        </w:rPr>
        <w:t>».</w:t>
      </w:r>
    </w:p>
    <w:p w:rsidR="00355A58" w:rsidRPr="00355A58" w:rsidRDefault="00355A58" w:rsidP="000B2E56">
      <w:pPr>
        <w:pStyle w:val="a3"/>
        <w:rPr>
          <w:color w:val="000000" w:themeColor="text1"/>
        </w:rPr>
      </w:pPr>
    </w:p>
    <w:p w:rsidR="004E3DB0" w:rsidRDefault="004E3DB0" w:rsidP="004E3DB0">
      <w:pPr>
        <w:pStyle w:val="a3"/>
        <w:rPr>
          <w:color w:val="000000" w:themeColor="text1"/>
        </w:rPr>
      </w:pPr>
    </w:p>
    <w:p w:rsidR="00C41318" w:rsidRDefault="000B2E56" w:rsidP="00C41318">
      <w:pPr>
        <w:jc w:val="both"/>
        <w:rPr>
          <w:sz w:val="28"/>
          <w:szCs w:val="28"/>
        </w:rPr>
      </w:pPr>
      <w:r>
        <w:rPr>
          <w:sz w:val="28"/>
          <w:szCs w:val="28"/>
        </w:rPr>
        <w:t>Исполняющ</w:t>
      </w:r>
      <w:r w:rsidR="00D61C65">
        <w:rPr>
          <w:sz w:val="28"/>
          <w:szCs w:val="28"/>
        </w:rPr>
        <w:t>ий</w:t>
      </w:r>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FD8" w:rsidRDefault="00382FD8">
      <w:r>
        <w:separator/>
      </w:r>
    </w:p>
  </w:endnote>
  <w:endnote w:type="continuationSeparator" w:id="0">
    <w:p w:rsidR="00382FD8" w:rsidRDefault="0038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FD8" w:rsidRDefault="00382FD8">
      <w:r>
        <w:separator/>
      </w:r>
    </w:p>
  </w:footnote>
  <w:footnote w:type="continuationSeparator" w:id="0">
    <w:p w:rsidR="00382FD8" w:rsidRDefault="00382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FA2687">
          <w:rPr>
            <w:noProof/>
          </w:rPr>
          <w:t>7</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093A6FB6"/>
    <w:lvl w:ilvl="0" w:tplc="254E967A">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2F95"/>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BCB781C7-09CF-4A00-BA2C-EAAF54672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26</Pages>
  <Words>9518</Words>
  <Characters>54254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42</cp:revision>
  <cp:lastPrinted>2025-02-03T01:48:00Z</cp:lastPrinted>
  <dcterms:created xsi:type="dcterms:W3CDTF">2024-04-02T04:31:00Z</dcterms:created>
  <dcterms:modified xsi:type="dcterms:W3CDTF">2025-03-17T05:50:00Z</dcterms:modified>
</cp:coreProperties>
</file>