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bCs/>
          <w:caps/>
          <w:color w:val="00008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caps/>
          <w:color w:val="00008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aps/>
          <w:color w:val="000080"/>
          <w:sz w:val="24"/>
          <w:szCs w:val="24"/>
          <w:lang w:eastAsia="ru-RU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bCs/>
          <w:caps/>
          <w:color w:val="00008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aps/>
          <w:color w:val="000080"/>
          <w:sz w:val="24"/>
          <w:szCs w:val="24"/>
          <w:highlight w:val="none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421005</wp:posOffset>
                </wp:positionH>
                <wp:positionV relativeFrom="paragraph">
                  <wp:posOffset>146700</wp:posOffset>
                </wp:positionV>
                <wp:extent cx="344805" cy="344805"/>
                <wp:effectExtent l="0" t="0" r="0" b="0"/>
                <wp:wrapNone/>
                <wp:docPr id="1" name="Рисунок 2" descr="Описание: Описание: логотип ТФОМС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9712123" name="Рисунок 2" descr="Описание: Описание: логотип ТФОМС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44803" cy="34480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251659264;o:allowoverlap:true;o:allowincell:true;mso-position-horizontal-relative:text;margin-left:33.15pt;mso-position-horizontal:absolute;mso-position-vertical-relative:text;margin-top:11.55pt;mso-position-vertical:absolute;width:27.15pt;height:27.15pt;mso-wrap-distance-left:9.00pt;mso-wrap-distance-top:0.00pt;mso-wrap-distance-right:9.00pt;mso-wrap-distance-bottom:0.00pt;z-index:1;" stroked="false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caps/>
          <w:color w:val="00008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aps/>
          <w:color w:val="000080"/>
          <w:sz w:val="24"/>
          <w:szCs w:val="24"/>
          <w:lang w:eastAsia="ru-RU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bCs/>
          <w:caps/>
          <w:color w:val="000080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caps/>
          <w:color w:val="000080"/>
          <w:sz w:val="24"/>
          <w:szCs w:val="24"/>
          <w:lang w:eastAsia="ru-RU"/>
        </w:rPr>
        <w:t xml:space="preserve">          Территориальный фонд обязательного медицинского            страхования Еврейской автономной области</w:t>
      </w:r>
      <w:r>
        <w:rPr>
          <w:rFonts w:ascii="Times New Roman" w:hAnsi="Times New Roman" w:eastAsia="Times New Roman" w:cs="Times New Roman"/>
          <w:b/>
          <w:bCs/>
          <w:caps/>
          <w:color w:val="00008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aps/>
          <w:color w:val="000080"/>
          <w:sz w:val="24"/>
          <w:szCs w:val="24"/>
          <w:highlight w:val="none"/>
          <w:lang w:eastAsia="ru-RU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b/>
          <w:color w:val="000080"/>
          <w:sz w:val="18"/>
          <w:szCs w:val="24"/>
          <w:u w:val="single"/>
          <w:lang w:eastAsia="ru-RU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5600700" cy="0"/>
                <wp:effectExtent l="0" t="0" r="19050" b="1905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600699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" o:spid="_x0000_s1" style="position:absolute;left:0;text-align:left;z-index:251660288;mso-wrap-distance-left:9.00pt;mso-wrap-distance-top:0.00pt;mso-wrap-distance-right:9.00pt;mso-wrap-distance-bottom:0.00pt;visibility:visible;" from="0.0pt,8.4pt" to="441.0pt,8.4pt" filled="f" strokecolor="#666699" strokeweight="1.50pt"/>
            </w:pict>
          </mc:Fallback>
        </mc:AlternateContent>
      </w:r>
      <w:r>
        <w:rPr>
          <w:rFonts w:ascii="Times New Roman" w:hAnsi="Times New Roman" w:eastAsia="Times New Roman" w:cs="Times New Roman"/>
          <w:b/>
          <w:color w:val="000080"/>
          <w:sz w:val="18"/>
          <w:szCs w:val="24"/>
          <w:u w:val="single"/>
          <w:lang w:eastAsia="ru-RU"/>
        </w:rPr>
      </w:r>
      <w:r>
        <w:rPr>
          <w:rFonts w:ascii="Times New Roman" w:hAnsi="Times New Roman" w:eastAsia="Times New Roman" w:cs="Times New Roman"/>
          <w:b/>
          <w:color w:val="000080"/>
          <w:sz w:val="18"/>
          <w:szCs w:val="24"/>
          <w:u w:val="single"/>
          <w:lang w:eastAsia="ru-RU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color w:val="000080"/>
          <w:sz w:val="18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80"/>
          <w:sz w:val="18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80"/>
          <w:sz w:val="18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80"/>
          <w:sz w:val="18"/>
          <w:szCs w:val="24"/>
          <w:lang w:eastAsia="ru-RU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color w:val="000080"/>
          <w:sz w:val="18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80"/>
          <w:sz w:val="18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80"/>
          <w:sz w:val="18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80"/>
          <w:sz w:val="18"/>
          <w:szCs w:val="24"/>
          <w:lang w:eastAsia="ru-RU"/>
        </w:rPr>
      </w:r>
    </w:p>
    <w:p>
      <w:pPr>
        <w:keepNext w:val="true"/>
        <w:pBdr/>
        <w:spacing w:after="0" w:line="240" w:lineRule="auto"/>
        <w:ind/>
        <w:jc w:val="center"/>
        <w:outlineLvl w:val="2"/>
        <w:rPr>
          <w:rFonts w:ascii="Times New Roman" w:hAnsi="Times New Roman" w:eastAsia="Times New Roman" w:cs="Times New Roman"/>
          <w:caps/>
          <w:spacing w:val="54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aps/>
          <w:spacing w:val="54"/>
          <w:sz w:val="28"/>
          <w:szCs w:val="20"/>
          <w:lang w:eastAsia="ru-RU"/>
        </w:rPr>
        <w:t xml:space="preserve">приказ</w:t>
      </w:r>
      <w:r>
        <w:rPr>
          <w:rFonts w:ascii="Times New Roman" w:hAnsi="Times New Roman" w:eastAsia="Times New Roman" w:cs="Times New Roman"/>
          <w:caps/>
          <w:spacing w:val="54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caps/>
          <w:spacing w:val="54"/>
          <w:sz w:val="28"/>
          <w:szCs w:val="20"/>
          <w:lang w:eastAsia="ru-RU"/>
        </w:rPr>
      </w:r>
    </w:p>
    <w:p>
      <w:pPr>
        <w:pBdr/>
        <w:spacing w:after="0" w:line="254" w:lineRule="auto"/>
        <w:ind/>
        <w:jc w:val="center"/>
        <w:rPr>
          <w:rFonts w:ascii="Tahoma" w:hAnsi="Tahoma" w:eastAsia="Times New Roman" w:cs="Times New Roman"/>
          <w:sz w:val="28"/>
          <w:szCs w:val="24"/>
          <w:lang w:eastAsia="ru-RU"/>
        </w:rPr>
      </w:pPr>
      <w:r>
        <w:rPr>
          <w:rFonts w:ascii="Tahoma" w:hAnsi="Tahoma" w:eastAsia="Times New Roman" w:cs="Times New Roman"/>
          <w:sz w:val="28"/>
          <w:szCs w:val="24"/>
          <w:lang w:eastAsia="ru-RU"/>
        </w:rPr>
      </w:r>
      <w:r>
        <w:rPr>
          <w:rFonts w:ascii="Tahoma" w:hAnsi="Tahoma" w:eastAsia="Times New Roman" w:cs="Times New Roman"/>
          <w:sz w:val="28"/>
          <w:szCs w:val="24"/>
          <w:lang w:eastAsia="ru-RU"/>
        </w:rPr>
      </w:r>
      <w:r>
        <w:rPr>
          <w:rFonts w:ascii="Tahoma" w:hAnsi="Tahoma" w:eastAsia="Times New Roman" w:cs="Times New Roman"/>
          <w:sz w:val="28"/>
          <w:szCs w:val="24"/>
          <w:lang w:eastAsia="ru-RU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    28 июня  2024 г.                                                                           №  91-од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г. Биробиджан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pBdr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</w:t>
      </w:r>
      <w:hyperlink r:id="rId10" w:tooltip="consultantplus://offline/ref=6BA387DD5AA9719112E002FF68F94106FB7274D57BF3A609045BD9EEE42D5330A8067E350F51F5x709B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приказ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ТФОМС ЕАО от 12.08.2021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142-од «Об утверждении учетной политики территориального фонда обязательного медицинского страхования Еврейской автономной области»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pacing w:after="0" w:line="254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after="0" w:line="254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88" w:lineRule="atLeast"/>
        <w:ind w:right="0" w:firstLine="0" w:left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    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 основании приказов Минфина  </w:t>
      </w:r>
      <w:hyperlink r:id="rId11" w:tooltip="О внесении изменений в федеральный стандарт бухгалтерского учета для организаций государственного сектора &quot;Учетная политика, оценочные значения и ошибки&quot;, утвержденный приказом Министерства финансов Российской Федерации от 30 декабря 2017 г. № 274н" w:history="1">
        <w:r>
          <w:rPr>
            <w:rStyle w:val="82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от 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России от 13.09.2023 N 144н</w:t>
      </w:r>
      <w:r>
        <w:rPr>
          <w:rFonts w:ascii="Times New Roman" w:hAnsi="Times New Roman" w:eastAsia="Times New Roman" w:cs="Times New Roman"/>
          <w:color w:val="000000"/>
          <w:sz w:val="24"/>
        </w:rPr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"О внесении изменений в федеральный стандарт бухгалтерского учета для организаций государственного сектора "Учетная политика, оценочные значения и ошибки", утвержденный приказом Министерства финансов Российской Федерации от 30 декабря 2017 г. N 274н"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01.12.2010 N 157н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ых (муниципальных) учреждений и Инструкции по его применению"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hyperlink r:id="rId12" w:tooltip="О внесении изменений в приложения № 1-5 к приказу Министерства финансов Российской Федерации от 15 апреля 2021 г. № 61н &quot;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&quot;" w:history="1">
        <w:r>
          <w:rPr>
            <w:rStyle w:val="82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от 07.11.2022 № 157</w:t>
        </w:r>
        <w:r>
          <w:rPr>
            <w:rStyle w:val="825"/>
            <w:rFonts w:ascii="Times New Roman" w:hAnsi="Times New Roman" w:eastAsia="Times New Roman" w:cs="Times New Roman"/>
            <w:color w:val="01745c"/>
            <w:sz w:val="28"/>
            <w:szCs w:val="28"/>
            <w:u w:val="none"/>
          </w:rPr>
          <w:t xml:space="preserve">н</w:t>
        </w:r>
      </w:hyperlink>
      <w:r>
        <w:rPr>
          <w:rFonts w:ascii="Times New Roman" w:hAnsi="Times New Roman" w:eastAsia="Times New Roman" w:cs="Times New Roman"/>
          <w:color w:val="222222"/>
          <w:sz w:val="28"/>
          <w:szCs w:val="28"/>
        </w:rPr>
        <w:t xml:space="preserve"> 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54" w:lineRule="auto"/>
        <w:ind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222222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222222"/>
          <w:sz w:val="28"/>
          <w:szCs w:val="28"/>
          <w:highlight w:val="none"/>
        </w:rPr>
      </w:r>
    </w:p>
    <w:p>
      <w:pPr>
        <w:pBdr/>
        <w:spacing w:after="0" w:line="254" w:lineRule="auto"/>
        <w:ind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</w:rPr>
      </w:r>
      <w:r>
        <w:rPr>
          <w:rFonts w:ascii="Times New Roman" w:hAnsi="Times New Roman" w:eastAsia="Times New Roman" w:cs="Times New Roman"/>
          <w:color w:val="222222"/>
          <w:sz w:val="28"/>
          <w:szCs w:val="28"/>
        </w:rPr>
        <w:t xml:space="preserve">    ПРИКАЗЫВАЮ: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 w:after="0" w:line="254" w:lineRule="auto"/>
        <w:ind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highlight w:val="none"/>
        </w:rPr>
      </w:pPr>
      <w:r>
        <w:rPr>
          <w:highlight w:val="none"/>
        </w:rPr>
      </w:r>
      <w:r>
        <w:rPr>
          <w:rFonts w:ascii="Times New Roman" w:hAnsi="Times New Roman" w:eastAsia="Times New Roman" w:cs="Times New Roman"/>
          <w:color w:val="222222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222222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</w:rPr>
        <w:t xml:space="preserve">1. Внести изменения в учетную политику для целей бухгалтерского учета, утвержденную приказом директора ТФОМС ЕАО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12.08.2021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142-од </w:t>
      </w:r>
      <w:r>
        <w:rPr>
          <w:rFonts w:ascii="Times New Roman" w:hAnsi="Times New Roman" w:eastAsia="Times New Roman" w:cs="Times New Roman"/>
          <w:color w:val="222222"/>
          <w:sz w:val="28"/>
          <w:szCs w:val="28"/>
        </w:rPr>
        <w:t xml:space="preserve"> согласно приложениям 1 и 2 к настоящему приказу.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eastAsia="Times New Roman" w:cs="Times New Roman"/>
          <w:color w:val="222222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</w:rPr>
        <w:t xml:space="preserve">2. Приложение №13 к  приказу ТФОМС ЕАО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12.08.2021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142-од</w:t>
      </w:r>
      <w:r>
        <w:rPr>
          <w:rFonts w:ascii="Times New Roman" w:hAnsi="Times New Roman" w:eastAsia="Times New Roman" w:cs="Times New Roman"/>
          <w:color w:val="222222"/>
          <w:sz w:val="28"/>
          <w:szCs w:val="28"/>
        </w:rPr>
        <w:t xml:space="preserve"> считать утратившим силу.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222222"/>
          <w:sz w:val="28"/>
          <w:szCs w:val="28"/>
          <w:highlight w:val="none"/>
        </w:rPr>
      </w:r>
    </w:p>
    <w:p>
      <w:pPr>
        <w:pBdr/>
        <w:tabs>
          <w:tab w:val="left" w:leader="none" w:pos="0"/>
          <w:tab w:val="left" w:leader="none" w:pos="993"/>
        </w:tabs>
        <w:spacing w:after="0" w:line="240" w:lineRule="auto"/>
        <w:ind w:firstLine="0" w:left="0"/>
        <w:contextualSpacing w:val="true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highlight w:val="none"/>
        </w:rPr>
        <w:t xml:space="preserve">3.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Настоящий приказ вступа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ет в силу c  1 июля 2024 года.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pBdr/>
        <w:tabs>
          <w:tab w:val="left" w:leader="none" w:pos="0"/>
          <w:tab w:val="left" w:leader="none" w:pos="993"/>
        </w:tabs>
        <w:spacing w:after="0" w:line="240" w:lineRule="auto"/>
        <w:ind w:firstLine="0" w:left="0"/>
        <w:contextualSpacing w:val="true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 w:firstLine="0" w:left="0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Контроль 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tabs>
          <w:tab w:val="left" w:leader="none" w:pos="0"/>
          <w:tab w:val="left" w:leader="none" w:pos="993"/>
        </w:tabs>
        <w:spacing w:after="0" w:line="240" w:lineRule="auto"/>
        <w:ind w:firstLine="0" w:left="0"/>
        <w:contextualSpacing w:val="true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jc w:val="lef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jc w:val="lef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Приложение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 приказу от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28.06.2024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№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91-од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4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1008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pacing w:val="-4"/>
          <w:sz w:val="28"/>
          <w:szCs w:val="28"/>
        </w:rPr>
        <w:t xml:space="preserve">                               Порядок проведения инвентаризации активов и обязательств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Настоящий Порядок разработан в соответствии со следующими документами: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83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480" w:lineRule="atLeast"/>
        <w:ind w:righ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hyperlink r:id="rId13" w:tooltip="О бухгалтерском учете" w:history="1">
        <w:r>
          <w:rPr>
            <w:rStyle w:val="82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Законом от 06.12.2011 № 402-ФЗ «О бухгалтерском учете»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83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480" w:lineRule="atLeast"/>
        <w:ind w:righ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Федеральным стандартом «Концептуальные основы бухгалтерского учета и отчетности организаций государственного сектора», утвержденным </w:t>
      </w:r>
      <w:hyperlink r:id="rId14" w:tooltip="Об утверждении федерального стандарта бухгалтерского учета для организаций государственного сектора &quot;Концептуальные основы бухгалтерского учета и отчетности организаций государственного сектора&quot;" w:history="1">
        <w:r>
          <w:rPr>
            <w:rStyle w:val="82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приказом Минфина от 31.12.2016 № 256н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83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480" w:lineRule="atLeast"/>
        <w:ind w:righ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Федеральным стандартом «Доходы», утвержденным </w:t>
      </w:r>
      <w:hyperlink r:id="rId15" w:tooltip="Об утверждении федерального стандарта бухгалтерского учета для организаций государственного сектора &quot;Доходы&quot;" w:history="1">
        <w:r>
          <w:rPr>
            <w:rStyle w:val="82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приказом Минфина от 27.02.2018 № 32н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83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480" w:lineRule="atLeast"/>
        <w:ind w:righ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Федеральным стандартом «Учетная политика, оценочные значения и ошибки», утвержденным </w:t>
      </w:r>
      <w:hyperlink r:id="rId16" w:tooltip="Об утверждении федерального стандарта бухгалтерского учета для организаций государственного сектора &quot;Учетная политика, оценочные значения и ошибки&quot;" w:history="1">
        <w:r>
          <w:rPr>
            <w:rStyle w:val="82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приказом Минфина от 30.12.2017 № 274н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83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480" w:lineRule="atLeast"/>
        <w:ind w:righ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hyperlink r:id="rId17" w:tooltip=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 w:history="1">
        <w:r>
          <w:rPr>
            <w:rStyle w:val="82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Указанием ЦБ от 11.03.2014 № 3210-У «О порядке ведения кассовых операций юридическими лицами...»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83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480" w:lineRule="atLeast"/>
        <w:ind w:righ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hyperlink r:id="rId18" w:tooltip=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w:history="1">
        <w:r>
          <w:rPr>
            <w:rStyle w:val="82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Методическими указаниями по первичным документам и регистрам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утвержденными </w:t>
      </w:r>
      <w:hyperlink r:id="rId19" w:tooltip=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w:history="1">
        <w:r>
          <w:rPr>
            <w:rStyle w:val="82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приказом Минфина от 30.03.2015 № 52н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83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480" w:lineRule="atLeast"/>
        <w:ind w:righ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hyperlink r:id="rId20" w:tooltip=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 w:history="1">
        <w:r>
          <w:rPr>
            <w:rStyle w:val="82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Методическими указаниями по первичным документам и регистрам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утвержденными </w:t>
      </w:r>
      <w:hyperlink r:id="rId21" w:tooltip=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 w:history="1">
        <w:r>
          <w:rPr>
            <w:rStyle w:val="82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приказом Минфина от 15.04.2021 № 61н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83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480" w:lineRule="atLeast"/>
        <w:ind w:righ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hyperlink r:id="rId22" w:tooltip="Об утверждении Правил учета и хранения драгоценных металлов, драгоценных камней и продукции из них, а также ведения соответствующей отчетности" w:history="1">
        <w:r>
          <w:rPr>
            <w:rStyle w:val="82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Правилами учета и хранения драгоценных металлов, камней и изделий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утвержденными </w:t>
      </w:r>
      <w:hyperlink r:id="rId23" w:tooltip="Об утверждении Правил учета и хранения драгоценных металлов, драгоценных камней и продукции из них, а также ведения соответствующей отчетности" w:history="1">
        <w:r>
          <w:rPr>
            <w:rStyle w:val="82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постановлением Правительства от 28.09.2000 № 731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528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1. Общие положения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1.1. Настоящий Порядок устанавливает правила проведения инвентаризации имущества, финансовых активов и обязательств учреждения, в том числе на забалансовых счетах, сроки ее проведения, перечень активов и обязательств, проверяемых при проведении инвентариза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ции.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1.2. Инвентаризации подлежит все имущество учреждения независимо от его местонахождения и все виды финансовых активов и обязательств учреждения, в том числе на забалансовых счетах.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Также инвентаризации подлежит имущество, находящееся на ответственном хранении учреждения.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нвентаризацию имущества, переданного в безвозмездное пользование, аренду, проводит ссудополучатель, арендополучатель.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Инвентаризация имущества производится по его местонахождению и в разрезе ответственных (материально ответственных) лиц, далее — ответственные лица.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1.3. Учреждение проводит инвентаризацию: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83"/>
        <w:numPr>
          <w:ilvl w:val="0"/>
          <w:numId w:val="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480" w:lineRule="atLeast"/>
        <w:ind w:righ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 случаях, установленных в </w:t>
      </w:r>
      <w:hyperlink r:id="rId24" w:tooltip="О внесении изменений в федеральный стандарт бухгалтерского учета для организаций государственного сектора &quot;Учетная политика, оценочные значения и ошибки&quot;, утвержденный приказом Министерства финансов Российской Федерации от 30 декабря 2017 г. № 274н" w:history="1">
        <w:r>
          <w:rPr>
            <w:rStyle w:val="82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пунктах 31 и 32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приложения № 1 к СГС «Учетная политика, оценочные значения и ошибки», — обязательная инвентаризация;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83"/>
        <w:numPr>
          <w:ilvl w:val="0"/>
          <w:numId w:val="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480" w:lineRule="atLeast"/>
        <w:ind w:righ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Ежеквартально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— в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кассе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83"/>
        <w:numPr>
          <w:ilvl w:val="0"/>
          <w:numId w:val="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480" w:lineRule="atLeast"/>
        <w:ind w:righ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 других случаях – по решению руководителя.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Инвентаризация проводится в том числе при отсутствии ответственного лица по объективным причинам — болезни, отпуска, смерти и т. д. Инвентаризация в этих случаях проводится на день приемки дел новым ответственным лицом по всем передаваемым объектам инвента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ризации.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При чрезвычайных происшествиях, таких как пожар, наводнение, землетрясение и пр., инвентаризация проводится сразу после окончания соответствующего события. Когда есть угроза жизни или здоровью — после устранения причин, из-за которых провести инвентаризаци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ю невозможно.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1.4. 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мущество, которое поступило во время инвентаризации, принимают ответственные лица в присутствии членов инвентаризационной комиссии и заносят его в отдельную инвентаризационную опись. В акт о результатах инвентаризации такое имущество не включается. Описи 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рилагают к акту о результатах инвентаризации.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1.5. Инвентаризация проводится методами осмотра, подсчета, взвешивания, обмера (далее — методы осмотра).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случаях, когда применение методов осмотра для выявления фактического наличия объектов инвентаризации невозможно или не представляется возможным без существенных затрат, учреждение использует альтернативные способы (методы) инвентаризации, в том числе с ис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пользованием цифровых технологий (далее — методы подтверждения, выверки (интеграции)):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1) видеофиксация и фотофиксация;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2) фиксация (актирование), в том числе: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83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480" w:lineRule="atLeast"/>
        <w:ind w:righ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факта осуществления объектом соответствующей функции;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83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480" w:lineRule="atLeast"/>
        <w:ind w:righ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поступления экономических выгод;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83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480" w:lineRule="atLeast"/>
        <w:ind w:righ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использования полезного потенциала;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83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480" w:lineRule="atLeast"/>
        <w:ind w:righ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подтверждения наличия (обоснованности владения) данными государственных (муниципальных) реестров (информационных ресурсов), содержащих информацию об объекте инвентаризации, посредством запросов или средствами технологической интеграции информационных систе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Замеры и установленные факты оформляются актами, которые вместе с расчетами прилагаются к документам, оформляющим результаты инвентаризации.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Инвентаризацию методом подтверждения, выверки (интеграции), а также методом расчетов допустимо проводить по решению руководителя на дату, предшествующую дате принятия решения о проведении инвентаризации.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528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2. Общий порядок и сроки проведения инвентаризации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2.1. Для проведения инвентаризации в учреждении создается постоянно действующая инвентаризационная комиссия минимум из трех человек.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В состав инвентаризационной комиссии включают представителей администрации</w:t>
        <w:br/>
        <w:t xml:space="preserve">учреждения, сотрудников бухгалтерии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других специалистов. Персональный состав постоянно действующей комиссии утверждает руководитель учреждения приказом.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Инвентаризацию перед списанием имущества, для признания в учете выявленных излишков, для выбытия недостающих объектов с учета или корректировки бухгалтерских данных при пересортице может проводить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комиссия по поступлению и выбытию активов. Руководитель наделяет комиссию по поступлению и выбытию активов полномочиями проводить инвентаризацию в указанных случаях отдельным приказом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    Детальные правила работы комиссии, ее права, ответственность и полномочия устанавливаются в отдельном локальном акте — </w:t>
      </w:r>
      <w:hyperlink r:id="rId25" w:tooltip="Положение о постоянно действующей инвентаризационной комиссии" w:history="1">
        <w:r>
          <w:rPr>
            <w:rStyle w:val="82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положении об инвентаризационной комиссии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2.2. Инвентаризации подлежит имущество учреждения, вложения в него на счете 106.00 «Вложения в нефинансовые активы», а также следующие финансовые активы, обязательства и финансовые результаты:</w:t>
        <w:br/>
        <w:t xml:space="preserve">— денежные средства — счет Х.201.00.000;</w:t>
        <w:br/>
        <w:t xml:space="preserve">— расчеты по доходам —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счет Х.205.00.000;</w:t>
        <w:br/>
        <w:t xml:space="preserve">— расчеты по выданным авансам — счет Х.206.00.000;</w:t>
        <w:br/>
        <w:t xml:space="preserve">— расчеты с подотчетными лицами — счет Х.208.00.000;</w:t>
        <w:br/>
        <w:t xml:space="preserve">— расчеты по ущербу имуществу и иным доходам — счет Х.209.00.000;</w:t>
        <w:br/>
        <w:t xml:space="preserve">— расчеты по принятым обязательствам — счет Х.302.00.000;</w:t>
        <w:br/>
        <w:t xml:space="preserve">— расчет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ы по платежам в бюджеты — счет Х.303.00.000;</w:t>
        <w:br/>
        <w:t xml:space="preserve">— прочие расчеты с кредиторами — счет Х.304.00.000;</w:t>
        <w:br/>
        <w:t xml:space="preserve">—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расчеты с кредиторами по долговым обязательствам — счет Х.301.00.000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;</w:t>
        <w:br/>
        <w:t xml:space="preserve">—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доходы будущих периодов — счет Х.401.40.000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;</w:t>
        <w:br/>
        <w:t xml:space="preserve">— расходы будущих периодов — счет Х.401.50.000;</w:t>
        <w:br/>
        <w:t xml:space="preserve">— резервы предстоящих расходов — счет Х.401.60.000.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2.3. Сроки проведения плановых инвентаризаций установлены в Графике проведения инвентаризации.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Кроме плановых инвентаризаций, учреждение может проводить внеплановые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сплошные и выборочные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инвентаризации. Внеплановые инвентаризации проводятся на основании Решения о проведении инвентаризации (</w:t>
      </w:r>
      <w:hyperlink r:id="rId26" w:tooltip="ОКУД 0510439. Решение о проведении инвентаризации" w:history="1">
        <w:r>
          <w:rPr>
            <w:rStyle w:val="82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ф. 0510439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2.4. До начала проверки фактического наличия имущества инвентаризационной комиссии надлежит получить приходные и расходные документы или отчеты о движении материальных ценностей и денежных средств, не сданные и не учтенные бухгалтерией на момент проведения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инвентаризации.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Председатель инвентаризационной комиссии визирует все приходные и расходные документы, приложенные к реестрам (отчетам), с указанием «До инвентаризации на "___"» (дата). Это служит основанием для определения остатков имущества к началу</w:t>
        <w:br/>
        <w:t xml:space="preserve">инвентаризации по уч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етным данным.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2.5. Ответственные лица дают расписки о том, что к началу инвентаризации все расходные и приходные документы на имущество сданы в бухгалтерию или переданы комиссии и все ценности, поступившие на их ответственность, оприходованы, а выбывшие списаны в расход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 Аналогичные расписки дают сотрудники, имеющие подотчетные суммы на приобретение или доверенности на получение имущества.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2.6. Фактическое наличие имущества при инвентаризации определяют путем осмотра, подсчета, взвешивания, обмера. Вес и объем навалочных и наливных материальных ценностей проверяется путем обмеров, замеров и технических расчетов.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Инвентаризация материальных ценностей, которые хранятся в неповрежденной упаковке с информацией производителя о количестве товара внутри, проводится методом фиксации. Для этого вскрывается и пересчитывается содержимое части упаковок —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10 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роцентов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от общего количества. Остальной подсчет ведется на основании данных производителя.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Инвентаризация имущества, которое находится вне учреждения, может проходить с помощью видео- и фотофиксации по правилам, установленным в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разделе 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настоящего порядка.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Инвентаризация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камер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видеонаблюдения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проводится путем фиксации выполнения функций объекта —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поступления сигналов и совершения видеозаписей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2.7. Проверка фактического наличия имущества производится при обязательном участии ответственных лиц.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2.8. Для оформления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инвентаризации комиссия применяет формы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</w:t>
        <w:br/>
        <w:t xml:space="preserve">утвержденные приказами Минфина </w:t>
      </w:r>
      <w:hyperlink r:id="rId27" w:tooltip=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w:history="1">
        <w:r>
          <w:rPr>
            <w:rStyle w:val="82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от 30.03.2015 № 52н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и </w:t>
      </w:r>
      <w:hyperlink r:id="rId28" w:tooltip=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 w:history="1">
        <w:r>
          <w:rPr>
            <w:rStyle w:val="82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от 15.04.2021 № 61н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— Решение о проведении инвентаризации (</w:t>
      </w:r>
      <w:hyperlink r:id="rId29" w:tooltip="ОКУД 0510439. Решение о проведении инвентаризации" w:history="1">
        <w:r>
          <w:rPr>
            <w:rStyle w:val="82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ф. 0510439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);</w:t>
        <w:br/>
        <w:t xml:space="preserve">— изменение Решения о проведении инвентаризации (</w:t>
      </w:r>
      <w:hyperlink r:id="rId30" w:tooltip="ОКУД 0510447. Изменение Решения о проведении инвентаризации" w:history="1">
        <w:r>
          <w:rPr>
            <w:rStyle w:val="82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ф. 0510447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);</w:t>
        <w:br/>
        <w:t xml:space="preserve">— инвентаризационная опись остатков на счетах учета денежных средств (</w:t>
      </w:r>
      <w:hyperlink r:id="rId31" w:tooltip="ОКУД 0504082. Инвентаризационная опись остатков на счетах учета денежных средств" w:history="1">
        <w:r>
          <w:rPr>
            <w:rStyle w:val="82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ф. 0504082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);</w:t>
        <w:br/>
        <w:t xml:space="preserve">— инвентаризационная опись (сличительная ведомость) бланков строгой отчетности и денежных документов (</w:t>
      </w:r>
      <w:hyperlink r:id="rId32" w:tooltip="ОКУД 0504086. Инвентаризационная опись бланков строгой отчетности и денежных документов" w:history="1">
        <w:r>
          <w:rPr>
            <w:rStyle w:val="82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ф. 0504086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);</w:t>
        <w:br/>
        <w:t xml:space="preserve">— инвентаризационная опись (сличительная ведомость) по объектам нефинансовых активов (</w:t>
      </w:r>
      <w:hyperlink r:id="rId33" w:tooltip="ОКУД 0504087. Инвентаризационная опись по объектам нефинансовых активов" w:history="1">
        <w:r>
          <w:rPr>
            <w:rStyle w:val="82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ф. 0504087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). По объектам, переданным в аренду, безвозмездное пользование, а также полученным в аренду, безвозмездное пользование и по другим основаниям, составляются отдельные описи (</w:t>
      </w:r>
      <w:hyperlink r:id="rId34" w:tooltip="ОКУД 0504087. Инвентаризационная опись по объектам нефинансовых активов" w:history="1">
        <w:r>
          <w:rPr>
            <w:rStyle w:val="82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ф. 0504087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);</w:t>
        <w:br/>
        <w:t xml:space="preserve">— инвентаризационная опись наличных денежных средств (</w:t>
      </w:r>
      <w:hyperlink r:id="rId35" w:tooltip="ОКУД 0504088. Инвентаризационная опись наличных денежных средств" w:history="1">
        <w:r>
          <w:rPr>
            <w:rStyle w:val="82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ф. 0504088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);</w:t>
        <w:br/>
        <w:t xml:space="preserve">— инвентаризационная опись расчетов с покупателями, поставщиками и прочими</w:t>
        <w:br/>
        <w:t xml:space="preserve">дебиторами и кредиторами (</w:t>
      </w:r>
      <w:hyperlink r:id="rId36" w:tooltip="ОКУД 0504089. Инвентаризационная опись расчетов с покупателями, поставщиками и прочими дебиторами и кредиторами" w:history="1">
        <w:r>
          <w:rPr>
            <w:rStyle w:val="82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ф. 0504089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);</w:t>
        <w:br/>
        <w:t xml:space="preserve">— инвентаризационная опись расчетов по поступлениям (</w:t>
      </w:r>
      <w:hyperlink r:id="rId37" w:tooltip="ОКУД 0504091. Инвентаризационная опись расчетов по поступлениям" w:history="1">
        <w:r>
          <w:rPr>
            <w:rStyle w:val="82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ф. 0504091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);</w:t>
        <w:br/>
        <w:t xml:space="preserve">— акт о результатах инвентаризации (</w:t>
      </w:r>
      <w:hyperlink r:id="rId38" w:tooltip="ОКУД 0510463. Акт о результатах инвентаризации" w:history="1">
        <w:r>
          <w:rPr>
            <w:rStyle w:val="82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ф. 0510463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);</w:t>
        <w:br/>
        <w:t xml:space="preserve">— акт о результатах инвентаризации наличных денежных средств (</w:t>
      </w:r>
      <w:hyperlink r:id="rId39" w:tooltip="ОКУД 0510836. Акт о результатах инвентаризации наличных денежных средств" w:history="1">
        <w:r>
          <w:rPr>
            <w:rStyle w:val="82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ф. 0510836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);</w:t>
        <w:br/>
        <w:t xml:space="preserve">— решение о прекращении признания активами объектов НФА (ф. 0510440);</w:t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— инвентаризационная опись задолженности по кредитам, займам (ссудам) (</w:t>
      </w:r>
      <w:hyperlink r:id="rId40" w:tooltip="ОКУД 0504083. Инвентаризационная опись задолженности по кредитам, займам " w:history="1">
        <w:r>
          <w:rPr>
            <w:rStyle w:val="825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none"/>
            <w:u w:val="none"/>
          </w:rPr>
          <w:t xml:space="preserve">ф. 0504083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);</w:t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— инвентаризационная опись ценных бумаг (</w:t>
      </w:r>
      <w:hyperlink r:id="rId41" w:tooltip="ОКУД 0504081. Инвентаризационная опись ценных бумаг" w:history="1">
        <w:r>
          <w:rPr>
            <w:rStyle w:val="825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none"/>
            <w:u w:val="none"/>
          </w:rPr>
          <w:t xml:space="preserve">ф. 0504081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Для результатов инвентаризации расходов будущих периодов применяется акт инвентаризации расходов будущих периодов № ИНВ-11 (</w:t>
      </w:r>
      <w:hyperlink r:id="rId42" w:tooltip="Форма № ИНВ-11 . Акт инвентаризации расходов будущих периодов (унифицированная форма, утв. Госкомстатом)" w:history="1">
        <w:r>
          <w:rPr>
            <w:rStyle w:val="825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none"/>
            <w:u w:val="none"/>
          </w:rPr>
          <w:t xml:space="preserve">ф. 0317012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), утвержденный </w:t>
      </w:r>
      <w:hyperlink r:id="rId43" w:tooltip="Об утверждении унифицированных форм первичной учетной документации по учету кассовых операций, по учету результатов инвентаризации" w:history="1">
        <w:r>
          <w:rPr>
            <w:rStyle w:val="825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none"/>
            <w:u w:val="none"/>
          </w:rPr>
          <w:t xml:space="preserve">приказом Госкомстата от 18.08.1998 № 88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2.9. Инвентаризационная комиссия обеспечивает полноту и точность внесения в описи данных о фактических остатках основных средств, нематериальных активов, материальных запасов и другого имущества, денежных средств, финансовых активов и обязательств, правиль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ность и своевременность оформления материалов инвентаризации. Также комиссия обеспечивает внесение в описи обнаруженных признаков обесценения актива.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2.10. Если инвентаризация проводится в течение нескольких дней, то помещения, где хранятся материальные ценности, при уходе инвентаризационной комиссии должны быть опечатаны. Во время перерывов в работе инвентаризационных комиссий (в обеденный перерыв, в 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очное время, по другим причинам) описи должны храниться в ящике (шкафу, сейфе) в закрытом помещении, где проводится инвентаризация.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2.11. Если ответственные лица обнаружат после инвентаризации ошибки в описях, они должны немедленно (до открытия склада, кладовой, секции и т. п.) заявить об этом председателю инвентаризационной комиссии.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Инвентаризационная комиссия осуществляет проверку указанных фактов и в случае их подтверждения производит исправление выявленных ошибок в установленном порядке.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528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3. Особенности инвентаризации отдельных видов имущества, финансовых активов, обязательств и финансовых результатов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3.1. Инвентаризация основных средств проводится один раз в год перед составлением годовой бухгалтерской отчетности.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Исключение — объекты библиотечного фонда, сроки и порядок инвентаризации которых изложены в пункте 3.3 настоящего Положения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Инвентаризации подлежат основные средства на балансовых счетах 101.00 «Основные средства», а также имущество на забалансовых счетах 01 «Имущество, полученное в пользование», 02 «Материальные ценности на хранении», 21 «Основные средства в эксплуатации».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Основные средства, которые временно отсутствуют (находятся у подрядчика на ремонте, у сотрудников в командировке и т. д.), инвентаризируются по документам и регистрам до момента выбытия.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Перед инвентаризацией комиссия проверяет:</w:t>
        <w:br/>
        <w:t xml:space="preserve">— есть ли инвентарные карточки, книги и описи на основные средства, как они заполнены;</w:t>
        <w:br/>
        <w:t xml:space="preserve">— состояние техпаспортов и других технических документов;</w:t>
        <w:br/>
        <w:t xml:space="preserve">— документы о государственной регистрации объектов;</w:t>
        <w:br/>
        <w:t xml:space="preserve">— документы на ос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новные средства, которые приняли или сдали на хранение и в аренду.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При отсутствии документов комиссия должна обеспечить их получение или оформление. При обнаружении расхождений и неточностей в регистрах бухгалтерского учета или технической документации следует внести соответствующие исправления и уточнения.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 ходе инвентаризации комиссия проверяет:</w:t>
        <w:br/>
        <w:t xml:space="preserve">— фактическое наличие объектов основных средств, эксплуатируются ли они по назначению;</w:t>
        <w:br/>
        <w:t xml:space="preserve">— физическое состояние объектов основных средств: рабочее, поломка, износ, порча и т. 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Данные об эксплуатации и физическом состоянии комиссия указывает в инвентаризационной описи (</w:t>
      </w:r>
      <w:hyperlink r:id="rId44" w:tooltip="ОКУД 0504087. Инвентаризационная опись по объектам нефинансовых активов" w:history="1">
        <w:r>
          <w:rPr>
            <w:rStyle w:val="82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ф. 0504087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). Графы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8 и 9 инвентаризационной описи по НФА комиссия заполняет следующим образом.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 графе 8 «Статус объекта учета» указываются коды статусов: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11 — в эксплуатации;</w:t>
        <w:br/>
        <w:t xml:space="preserve">12 — требуется ремонт;</w:t>
        <w:br/>
        <w:t xml:space="preserve">13 — находится на консервации;</w:t>
        <w:br/>
        <w:t xml:space="preserve">14 — требуется модернизация;</w:t>
        <w:br/>
        <w:t xml:space="preserve">15 — требуется реконструкция;</w:t>
        <w:br/>
        <w:t xml:space="preserve">16 — не соответствует требованиям эксплуатации;</w:t>
        <w:br/>
        <w:t xml:space="preserve">17 — не введен в эксплуатацию.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 графе 9 «Целевая функция актива» указываются коды функции: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11 — продолжить эксплуатацию;</w:t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12 — ремонт;</w:t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13 — консервация;</w:t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14 — модернизация, дооснащение (дооборудование);</w:t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15 — реконструкция;</w:t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16 — списание;</w:t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17 — утилизация.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...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3.2. Инвентаризацию имущества, переданного в аренду, комиссия проводит путем фиксации факта получения экономических выгод — арендной платы от арендатора.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3.3.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 Инвентаризация библиотечных фондов проводится при смене руководителя библиотеки, а также в следующие сроки:</w:t>
        <w:br/>
        <w:t xml:space="preserve">— наиболее ценные фонды, хранящиеся в сейфах, — ежегодно;</w:t>
        <w:br/>
        <w:t xml:space="preserve">— редчайшие и ценные фонды — один раз в три года;</w:t>
        <w:br/>
        <w:t xml:space="preserve">— остальные фонды — один раз в пять лет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При инвентаризации библиотечного фонда комиссия проверяет книги путем подсчета, электронные документы — по количественным показателям и контрольным суммам.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3.4. По незавершенному капстроительству на счете 106.11 «Вложения в основные средства — недвижимое имущество учреждения» комиссия проверяет:</w:t>
        <w:br/>
        <w:t xml:space="preserve">— нет ли в составе оборудования, которое передали на стройку, но не начали монтировать;</w:t>
        <w:br/>
        <w:t xml:space="preserve">— состояние и причины закон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сервированных и временно приостановленных объектов строительства.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При проверке используется техническая документация, акты сдачи выполненных работ (этапов), журналы учета выполненных работ на объектах строительства и др.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Результаты инвентаризации заносятся в инвентаризационную опись (</w:t>
      </w:r>
      <w:hyperlink r:id="rId45" w:tooltip="ОКУД 0504087. Инвентаризационная опись по объектам нефинансовых активов" w:history="1">
        <w:r>
          <w:rPr>
            <w:rStyle w:val="82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ф. 0504087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). В описи по каждому отдельному виду работ, конструктивным элементам и оборудованию комиссия указывает наименование объекта и объем выполненных работ. В графах 8 и 9 инвентаризационной описи по НФА комиссия указывает ход реализации вложений в соответствии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с пунктом 75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Инструкции, утвержденной </w:t>
      </w:r>
      <w:hyperlink r:id="rId46" w:tooltip="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" w:history="1">
        <w:r>
          <w:rPr>
            <w:rStyle w:val="82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приказом Минфина от 25.03.2011 № 33н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3.5. При инвентаризации нематериальных активов комиссия проверяет:</w:t>
        <w:br/>
        <w:t xml:space="preserve">— есть ли свидетельства, патенты и лицензионные договоры, которые подтверждают исключительные права учреждения на активы;</w:t>
        <w:br/>
        <w:t xml:space="preserve">— учтены ли активы на балансе и нет ли ошибок в учете.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Результаты инвентаризации заносятся в инвентаризационную опись (</w:t>
      </w:r>
      <w:hyperlink r:id="rId47" w:tooltip="ОКУД 0504087. Инвентаризационная опись по объектам нефинансовых активов" w:history="1">
        <w:r>
          <w:rPr>
            <w:rStyle w:val="82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ф. 0504087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Графы 8 и 9 инвентаризационной описи по НФА комиссия заполняет следующим образом.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 графе 8 «Статус объекта учета» указываются коды статусов: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11 — в эксплуатации;</w:t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14 — требуется модернизация;</w:t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16 — не соответствует требованиям эксплуатации;</w:t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17 — не введен в эксплуатацию.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...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 графе 9 «Целевая функция актива» указываются коды функции: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11 — продолжить эксплуатацию;</w:t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14 — модернизация, дооснащение (дооборудование);</w:t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16 — списание.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...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3.6. Материальные запасы комиссия проверяет по каждому ответственному лицу и по местам хранения. При инвентаризации материальных запасов, которых нет в учреждении (в пути, отгруженные, не оплачены в срок, на складах других организаций), проверяется обоснов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анность сумм на соответствующих счетах бухучета.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Отдельные инвентаризационные описи (</w:t>
      </w:r>
      <w:hyperlink r:id="rId48" w:tooltip="ОКУД 0504087. Инвентаризационная опись по объектам нефинансовых активов" w:history="1">
        <w:r>
          <w:rPr>
            <w:rStyle w:val="82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ф. 0504087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 составляются на материальные запасы, которые:</w:t>
        <w:br/>
        <w:t xml:space="preserve">— находятся в учреждении и распределены по ответственным лицам;</w:t>
        <w:br/>
        <w:t xml:space="preserve">— находятся в пути. По каждой отправке в описи указывается наименование, количество и стоимость, дата отгрузки, а также перечень и номера учетны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х документов;</w:t>
        <w:br/>
        <w:t xml:space="preserve">— отгружены и не оплачены вовремя покупателями. По каждой отгрузке в описи указывается наименование покупателя и материальных запасов, сумма, дата отгрузки, дата выписки и номер расчетного документа;</w:t>
        <w:br/>
        <w:t xml:space="preserve">— переданы в переработку. В описи указывае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тся наименование перерабатывающей</w:t>
        <w:br/>
        <w:t xml:space="preserve">организации и материальных запасов, количество, фактическая стоимость по данным бухучета, дата передачи, номера и даты документов;</w:t>
        <w:br/>
        <w:t xml:space="preserve">— находятся на складах других организаций. В описи указывается наименование организации и 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атериальных запасов, количество и стоимость.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При инвентаризации ГСМ в описи (</w:t>
      </w:r>
      <w:hyperlink r:id="rId49" w:tooltip="ОКУД 0504087. Инвентаризационная опись по объектам нефинансовых активов" w:history="1">
        <w:r>
          <w:rPr>
            <w:rStyle w:val="82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ф. 0504087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 указываются: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— остатки топлива в баках по каждому транспортному средству;</w:t>
        <w:br/>
        <w:t xml:space="preserve">— топливо, которое хранится в емкостях.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Остаток топлива в баках измеряется такими способами: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— специальными измерителями или мерками;</w:t>
        <w:br/>
        <w:t xml:space="preserve">— путем слива или заправки до полного бака;</w:t>
        <w:br/>
        <w:t xml:space="preserve">— по показаниям бортового компьютера или стрелочного индикатора уровня топлива.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Результаты инвентаризации комиссия отражает в инвентаризационной описи (</w:t>
      </w:r>
      <w:hyperlink r:id="rId50" w:tooltip="ОКУД 0504087. Инвентаризационная опись по объектам нефинансовых активов" w:history="1">
        <w:r>
          <w:rPr>
            <w:rStyle w:val="82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ф. 0504087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).</w:t>
        <w:br/>
        <w:t xml:space="preserve">Графы 8 и 9 инвентаризационной описи по НФА комиссия заполняет следующим образом.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 графе 8 «Статус объекта учета» указываются коды статусов: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51 — в запасе для использования;</w:t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52 — в запасе для хранения;</w:t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53 — ненадлежащего качества;</w:t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54 — поврежден;</w:t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55 — истек срок хранения.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...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 графе 9 «Целевая функция актива» указываются коды функции: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51 — использовать;</w:t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52 — продолжить хранение;</w:t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53 — списать;</w:t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54 — отремонтировать.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...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3.7. При инвентаризации денежных средств на лицевых и банковских счетах комиссия сверяет остатки на счетах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202.11, 202.12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с выписками из лицевых и банковских счетов.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Если в бухучете числятся остатки по средствам в пути (счета 202.12), комиссия сверяет остатки с данными подтверждающих документов — банковскими квитанциями, квитанциями почтового отделения, копиями сопроводительных ведомостей на сдачу выручки инкас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саторам, слипами (чеками платежных терминалов) и т. п.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Результаты инвентаризации комиссия отражает в инвентаризационной описи (</w:t>
      </w:r>
      <w:hyperlink r:id="rId51" w:tooltip="https://gosfinansy.ru/#/rubric/1/0/0" w:history="1">
        <w:r>
          <w:rPr>
            <w:rStyle w:val="82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ф. 0504082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.8. Проверка наличных денег в кассе . Суммы наличных денег должны соответствовать данным книги кассира.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Инвентаризации подлежат:</w:t>
        <w:br/>
        <w:t xml:space="preserve">— наличные деньги;</w:t>
        <w:br/>
        <w:t xml:space="preserve">— бланки строгой отчетности;</w:t>
        <w:br/>
        <w:t xml:space="preserve">— денежные документы;</w:t>
        <w:br/>
        <w:t xml:space="preserve">—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ценные бумаги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Инвентаризация наличных денежных средств, денежных документов и бланков строгой отчетности производится путем полного (полистного) пересчета. При проверке бланков строгой отчетности комиссия фиксирует начальные и конечные номера бланков.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 ходе инвентаризации кассы комиссия:</w:t>
        <w:br/>
        <w:t xml:space="preserve">— проверяет кассовую книгу, отчеты кассира, приходные и расходные кассовые ордера, журнал регистрации приходных и расходных кассовых ордеров, доверенности на получение денег, реестр депонированных сумм и другие докумен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ты кассовой дисциплины;</w:t>
        <w:br/>
        <w:t xml:space="preserve">— сверяет суммы, оприходованные в кассу, с суммами, списанными с лицевого (расчетного) счета;</w:t>
        <w:br/>
        <w:t xml:space="preserve">— поверяет соблюдение кассиром лимита остатка наличных денежных средств, своевременность депонирования невыплаченных сумм зарплаты.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Результаты инвентаризации наличных денежных средств комиссия отражает в инвентаризационной описи (</w:t>
      </w:r>
      <w:hyperlink r:id="rId52" w:tooltip="https://gosfinansy.ru/#/rubric/1/0/0" w:history="1">
        <w:r>
          <w:rPr>
            <w:rStyle w:val="82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ф. 0504088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). Результаты инвентаризации денежных документов и бланков строгой отчетности — в инвентаризационной описи (</w:t>
      </w:r>
      <w:hyperlink r:id="rId53" w:tooltip="https://gosfinansy.ru/#/rubric/1/0/0" w:history="1">
        <w:r>
          <w:rPr>
            <w:rStyle w:val="82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ф. 0504086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3.9. При инвентаризации полученного в аренду имущества комиссия проверяет сохранность имущества, а также проверяет документы на право аренды: договор аренды, акт приема-передачи. Цена договора сверяется с данными бухгалтерского учета. Результаты инвентариз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ации комиссия отражает в инвентаризационной описи (</w:t>
      </w:r>
      <w:hyperlink r:id="rId54" w:tooltip="https://gosfinansy.ru/#/rubric/1/0/0" w:history="1">
        <w:r>
          <w:rPr>
            <w:rStyle w:val="82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ф. 0504087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3.10. Инвентаризацию расчетов с дебиторами и кредиторами комиссия проводит методом подтверждения, выверки (интеграции) с учетом следующих особенностей:</w:t>
        <w:br/>
        <w:t xml:space="preserve">— определяет сроки возникновения задолженности;</w:t>
        <w:br/>
        <w:t xml:space="preserve">— выявляет суммы невыплаченной зарплаты (депонированные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суммы), а также переплаты сотрудникам;</w:t>
        <w:br/>
        <w:t xml:space="preserve">— сверяет данные бухучета с суммами в актах сверки с покупателями (заказчиками) и поставщиками (исполнителями, подрядчиками), а также с бюджетом и внебюджетными фондами — по налогам и взносам;</w:t>
        <w:br/>
        <w:t xml:space="preserve">— проверяет обоснованнос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ть задолженности по недостачам, хищениям и ущербам;</w:t>
        <w:br/>
        <w:t xml:space="preserve">— выявляет кредиторскую задолженность, не востребованную кредиторами, а также дебиторскую задолженность, безнадежную к взысканию и сомнительную в соответствии с </w:t>
      </w:r>
      <w:hyperlink r:id="rId55" w:tooltip="Положение о признании дебиторской задолженности безнадежной к взысканию" w:history="1">
        <w:r>
          <w:rPr>
            <w:rStyle w:val="82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положением о задолженности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 случае ведения бухгалтерского учета по группе плательщиков (кредиторов) инвентаризация проводится путем сверки персонифицированных данных управленческого учета к составу аналитических признаков задолженности и данных на балансовых счетах по соответствующ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им группам плательщиков (кредиторов). Информация о задолженности конкретных должников (кредиторов) и аналитических признаках отражается в документах инвентаризации на основании данных персонифицированного (управленческого) учета.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Результаты инвентаризации комиссия отражает в инвентаризационной описи (</w:t>
      </w:r>
      <w:hyperlink r:id="rId56" w:tooltip="https://gosfinansy.ru/#/rubric/1/0/0" w:history="1">
        <w:r>
          <w:rPr>
            <w:rStyle w:val="82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ф. 0504089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3.11. При инвентаризации расходов будущих периодов комиссия проверяет:</w:t>
        <w:br/>
        <w:t xml:space="preserve">— суммы расходов из документов, подтверждающих расходы будущих периодов, — счетов, актов, договоров, накладных;</w:t>
        <w:br/>
        <w:t xml:space="preserve">— соответствие периода учета расходов периоду, который установлен в учетн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ой политике;</w:t>
        <w:br/>
        <w:t xml:space="preserve">— правильность сумм, списываемых на расходы текущего года.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Результаты инвентаризации комиссия отражает в акте инвентаризации расходов будущих периодов (</w:t>
      </w:r>
      <w:hyperlink r:id="rId57" w:tooltip="https://gosfinansy.ru/#/rubric/1/0/0" w:history="1">
        <w:r>
          <w:rPr>
            <w:rStyle w:val="82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ф. 0317012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3.12. Инвентаризацию резервов и объектов в условных оценках комиссия проводит методом расчетов. При инвентаризации резервов предстоящих расходов комиссия проверяет правильность их расчета и обоснованность создания.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 части резерва на оплату отпусков проверяются:</w:t>
        <w:br/>
        <w:t xml:space="preserve">— количество дней неиспользованного отпуска;</w:t>
        <w:br/>
        <w:t xml:space="preserve">— среднедневная сумма расходов на оплату труда;</w:t>
        <w:br/>
        <w:t xml:space="preserve">— сумма отчислений на обязательное пенсионное, социальное, медицинское страхование и на страхование от несчастных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лучаев и профзаболеваний.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Результаты инвентаризации комиссия отражает в акте инвентаризации резервов, форма которого утверждена в учетной политике учреждения.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3.13. При инвентаризации доходов будущих периодов комиссия проверяет правомерность отнесения полученных доходов к доходам будущих периодов. К доходам будущих периодов относятся в том числе:</w:t>
        <w:br/>
        <w:t xml:space="preserve">— доходы от аренды;</w:t>
        <w:br/>
        <w:t xml:space="preserve">— суммы субсидии на финансовое обеспечение гос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ударственного задания по соглашению, которое подписано в текущем году на будущий год.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Также проверяется правильность формирования оценки доходов будущих периодов. При инвентаризации, проводимой перед годовой отчетностью, проверяется обоснованность наличия остатков.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Результаты инвентаризации комиссия отражает в акте инвентаризации доходов будущих периодов, форма которого утверждена в учетной политике учреждения.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3.14. Инвентаризация драгоценных металлов, драгоценных камней, ювелирных и иных изделий из них проводится в соответствии с </w:t>
      </w:r>
      <w:hyperlink r:id="rId58" w:tooltip="Об утверждении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" w:history="1">
        <w:r>
          <w:rPr>
            <w:rStyle w:val="82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разделом III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Инструкции, утвержденной </w:t>
      </w:r>
      <w:hyperlink r:id="rId59" w:tooltip="Об утверждении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" w:history="1">
        <w:r>
          <w:rPr>
            <w:rStyle w:val="82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приказом Минфина от 09.12.2016 № 231н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528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4. Оформление результатов инвентаризации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4.1. После осмотров в ходе инвентаризации инвентаризационная комиссия проводит заседание с соблюдением кворума — не менее 2/3 от общего числа членов комиссии. Если кворума нет, председатель должен перенести заседание на новую дату, которая попадает в перио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 инвентаризации.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Эти правила заседаний с соблюдением кворума устанавливаются также для комиссии по поступлению и выбытию активов, если она проводит инвентаризацию перед списанием имущества и в других установленных настоящим положением случаях.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 ходе заседания комиссия анализирует выявленные расхождения, предлагает способы устранения обнаруженных расхождений фактического наличия объектов и данных бухгалтерского учета. Решения и заключения комиссии оформляются документально — в инвентаризационных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описях, актах, ведомостях.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4.2. Правильно оформленные инвентаризационной комиссией и подписанные всеми ее членами и ответственными лицами инвентаризационные описи (сличительные ведомости), акты о результатах инвентаризации передаются в бухгалтерию для выверки данных фактического нал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ичия имущественно-материальных и других ценностей, финансовых активов и обязательств с данными бухгалтерского учета.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4.3. Выявленные расхождения в инвентаризационных описях (сличительных ведомостях) отражаются в акте о результатах инвентаризации (</w:t>
      </w:r>
      <w:hyperlink r:id="rId60" w:tooltip="ОКУД 0510463. Акт о результатах инвентаризации" w:history="1">
        <w:r>
          <w:rPr>
            <w:rStyle w:val="82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ф. 0510463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). Акт подписывается всеми членами инвентаризационной комиссии и утверждается руководителем учреждения.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4.4. После завершения инвентаризации выявленные расхождения (неучтенные объекты, недостачи) должны быть отражены в бухгалтерском учете, а при необходимости – материалы направлены в судебные органы для предъявления гражданского иска.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4.5. Результаты инвентаризации отражаются в бухгалтерском учете и отчетности того месяца, в котором была закончена инвентаризация, а по годовой инвентаризации — в годовом бухгалтерском отчете.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4.6. На суммы выявленных излишков, недостач основных средств, нематериальных активов, материальных запасов инвентаризационная комиссия требует объяснение с ответственного лица по причинам расхождений с данными бухгалтерского учета. В случае недостачи или 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орчи имущества комиссия оценивает, в том числе на основе объяснений ответственного лица, имеются ли основания для возмещения недостачи или ущерба. Результат оценки указывается в решении комиссии.</w:t>
        <w:br/>
        <w:t xml:space="preserve">Основание: </w:t>
      </w:r>
      <w:hyperlink r:id="rId61" w:tooltip="О внесении изменений в федеральный стандарт бухгалтерского учета для организаций государственного сектора &quot;Учетная политика, оценочные значения и ошибки&quot;, утвержденный приказом Министерства финансов Российской Федерации от 30 декабря 2017 г. № 274н" w:history="1">
        <w:r>
          <w:rPr>
            <w:rStyle w:val="82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подпункт «б»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пункта 24 приложения № 1 к СГС «Учетная политика, оценочные значения и ошибки».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528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5. Особенности инвентаризации имущества с помощью видео- и фотофиксации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 Инвентаризация имущества производится по его местонахождению и в разрезе ответственных лиц.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Инвентаризируется имущество в структурных подразделениях учреждения, филиале, складе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помощью видео- и фотофиксации в режиме реального времени.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 Записывать видео инвентаризации может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назначенный председателем член комиссии на телефон с камерой. Он же производит фотосъемку имущества по местам его хранения. Председатель обеспечивает, чтобы запись была качественной, в кадр попадало все, что происходит в помещении, и вся процедура инвентар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изации целиком, включая опечатывание помещений по окончании инвентаризации, если оно проводится.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.3.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Файлы с видео- и фотофиксацией ответственный член комиссии отправляет другим членам комиссии, чтобы зафиксировать наличие имущества и оформить это в инвентаризационных описях, с помощью мессенджера Express.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.4.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Председатель комиссии передает описи членам комиссии, которые присутствовали удаленно, не позднее следующего рабочего дня после возвращения из места ее проведения, а члены комиссии, подписав описи, передают их в бухгалтерию не позднее следующего рабочего 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ня после получения. Видеозаписи и фото, которые подтверждают, что имущество фактически находится в указанных местах хранения у ответственных лиц, по окончании инвентаризации передаются в электронный архив.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528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6. График проведения инвентаризации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Инвентаризация проводится со следующей периодичностью и в сроки.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48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tbl>
      <w:tblPr>
        <w:tblStyle w:val="699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338"/>
        <w:gridCol w:w="3110"/>
        <w:gridCol w:w="3263"/>
        <w:gridCol w:w="2615"/>
      </w:tblGrid>
      <w:tr>
        <w:trPr/>
        <w:tc>
          <w:tcPr>
            <w:tcBorders>
              <w:top w:val="single" w:color="222222" w:sz="6" w:space="0"/>
              <w:left w:val="none" w:color="000000" w:sz="4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38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</w:rPr>
              <w:t xml:space="preserve">№</w:t>
              <w:br/>
              <w:t xml:space="preserve">п/п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110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263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non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615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222222" w:sz="6" w:space="0"/>
              <w:left w:val="none" w:color="000000" w:sz="4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38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11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480" w:lineRule="auto"/>
              <w:ind w:right="0" w:firstLine="0"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Нефинансовые активы</w:t>
              <w:br/>
              <w:t xml:space="preserve">(основные средства,</w:t>
              <w:br/>
              <w:t xml:space="preserve">материальные запасы,</w:t>
              <w:br/>
              <w:t xml:space="preserve">нематериальные активы, права пользования активами)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263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жегодно</w:t>
              <w:br/>
              <w:t xml:space="preserve">на 1 ноября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non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615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Год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222222" w:sz="6" w:space="0"/>
              <w:left w:val="none" w:color="000000" w:sz="4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38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11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480" w:lineRule="auto"/>
              <w:ind w:right="0" w:firstLine="0"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Капвложения, по которым не было движения в течение года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263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Ежегодно</w:t>
              <w:br/>
              <w:t xml:space="preserve">на 1 ноября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non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615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Год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222222" w:sz="6" w:space="0"/>
              <w:left w:val="none" w:color="000000" w:sz="4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38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110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Финансовые активы</w:t>
              <w:br/>
              <w:t xml:space="preserve">(финансовые вложения,</w:t>
              <w:br/>
              <w:t xml:space="preserve">денежные средства на</w:t>
              <w:br/>
              <w:t xml:space="preserve">счетах)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263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Ежегодно</w:t>
              <w:br/>
              <w:t xml:space="preserve">на 1 января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non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615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Год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222222" w:sz="6" w:space="0"/>
              <w:left w:val="none" w:color="000000" w:sz="4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38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110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Дебиторская и кредиторская</w:t>
              <w:br/>
              <w:t xml:space="preserve">задолженность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26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480" w:lineRule="auto"/>
              <w:ind w:right="0" w:firstLine="0"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на 1 января — для подтверждения данных о задолженности в годовой отчетности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non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615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222222" w:sz="6" w:space="0"/>
              <w:left w:val="none" w:color="000000" w:sz="4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38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11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480" w:lineRule="auto"/>
              <w:ind w:right="0" w:firstLine="0"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Ревизия кассы, соблюдение порядка ведения кассовых</w:t>
              <w:br/>
              <w:t xml:space="preserve">операций.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480" w:lineRule="auto"/>
              <w:ind w:right="0" w:firstLine="0"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Проверка наличия, выдачи и списания бланков строгой отчетности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263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Ежеквартально</w:t>
              <w:br/>
              <w:t xml:space="preserve">на последний день</w:t>
              <w:br/>
              <w:t xml:space="preserve">отчетного квартала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non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615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Квартал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222222" w:sz="6" w:space="0"/>
              <w:left w:val="none" w:color="000000" w:sz="4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38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110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Расходы и доходы будущих периодов, резервы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263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Ежегодно</w:t>
              <w:br/>
              <w:t xml:space="preserve">на 1 января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non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615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Год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222222" w:sz="6" w:space="0"/>
              <w:left w:val="none" w:color="000000" w:sz="4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38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110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Внезапные инвентаризации</w:t>
              <w:br/>
              <w:t xml:space="preserve">всех видов имущества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263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—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non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615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При необходимости в</w:t>
              <w:br/>
              <w:t xml:space="preserve">соответствии с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Решением о проведении инвентаризации (</w:t>
            </w:r>
            <w:hyperlink r:id="rId62" w:tooltip="ОКУД 0510439. Решение о проведении инвентаризации" w:history="1">
              <w:r>
                <w:rPr>
                  <w:rStyle w:val="825"/>
                  <w:rFonts w:ascii="Times New Roman" w:hAnsi="Times New Roman" w:eastAsia="Times New Roman" w:cs="Times New Roman"/>
                  <w:color w:val="000000" w:themeColor="text1"/>
                  <w:sz w:val="28"/>
                  <w:szCs w:val="28"/>
                  <w:u w:val="none"/>
                </w:rPr>
                <w:t xml:space="preserve">ф. 0510439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222222" w:sz="6" w:space="0"/>
              <w:left w:val="none" w:color="000000" w:sz="4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38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...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110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263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non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615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38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110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263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615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120" w:firstLine="0" w:left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/>
        <w:ind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/>
        <w:ind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/>
        <w:ind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/>
        <w:ind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/>
        <w:ind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/>
        <w:ind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/>
        <w:ind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</w:p>
    <w:p>
      <w:pPr>
        <w:pBdr/>
        <w:spacing/>
        <w:ind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</w:p>
    <w:p>
      <w:pPr>
        <w:pBdr/>
        <w:spacing/>
        <w:ind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</w:p>
    <w:p>
      <w:pPr>
        <w:pBdr/>
        <w:spacing/>
        <w:ind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</w:p>
    <w:p>
      <w:pPr>
        <w:pBdr/>
        <w:spacing/>
        <w:ind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</w:p>
    <w:p>
      <w:pPr>
        <w:pBdr/>
        <w:spacing/>
        <w:ind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</w:p>
    <w:p>
      <w:pPr>
        <w:pBdr/>
        <w:spacing/>
        <w:ind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</w:p>
    <w:p>
      <w:pPr>
        <w:pBdr/>
        <w:spacing/>
        <w:ind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Приложение 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к приказу от 28.06.2024 №</w:t>
      </w:r>
      <w:r>
        <w:rPr>
          <w:rFonts w:ascii="Times New Roman" w:hAnsi="Times New Roman" w:cs="Times New Roman"/>
          <w:sz w:val="28"/>
          <w:szCs w:val="28"/>
        </w:rPr>
        <w:t xml:space="preserve">91-од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 xml:space="preserve">                                            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 xml:space="preserve">                       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ru-RU"/>
        </w:rPr>
        <w:t xml:space="preserve">ПОЛОЖЕНИЕ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ru-RU"/>
        </w:rPr>
        <w:t xml:space="preserve">                      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ru-RU"/>
        </w:rPr>
        <w:t xml:space="preserve">                     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ru-RU"/>
        </w:rPr>
        <w:t xml:space="preserve">об инвентаризационной комиссии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ru-RU"/>
        </w:rPr>
        <w:t xml:space="preserve">1. Общие положения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             Инвентаризационная комиссия создана для проведения инвентаризаций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в учреждении (далее – Комиссия).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              Комиссия при организации и проведении инвентаризации руководствуется статьей 11 Закона от 06.12.2011 №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402-ФЗ, пунктами 6 и 20 Инструкции к Единому плану счетов № 157н, Федеральным стандартом «Учетная политика, оценочные значения и ошибки», утвержденным приказом Минфина от 30.12.2017 № 274, а также Порядком и графиком проведения инвентаризации в учреждении.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ru-RU"/>
        </w:rPr>
        <w:t xml:space="preserve">2. Основные задачи Комиссии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2.1. Основными задачами Комиссии являются проведение инвентаризации имущества, финансовых активов и обязательств учреждения, в том числе 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забалансовых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счетах, сопоставление фактического наличия объектов инвентаризации с данными бухгалтерского учета, выявление неучтенных объектов, подготовка документов для списания нефинансовых активов, дебиторской и кредиторской задолженности.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ru-RU"/>
        </w:rPr>
        <w:t xml:space="preserve">3. Организация деятельности Комиссии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3.1. Комиссию возглавляет председатель, который осуществляет следующие полномочия: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ab/>
        <w:t xml:space="preserve">руководит работой Комиссии;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ab/>
        <w:t xml:space="preserve">распределяет обязанности и дает поручения членам Комиссии, обеспечивает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коллегиальность в обсуждении спорных вопросов;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ab/>
        <w:t xml:space="preserve">определяет согласно порядку проведения инвентаризации методы (способы) проведения инвентаризации в отношении соответствующих объектов инвентаризации;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ab/>
        <w:t xml:space="preserve">перед началом инвентаризации подготавливает план работы, проводит инструктаж с членами Комиссии, ознакомляет членов Комиссии с материалами предыдущих инвентаризаций, ревизий и проверок;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ab/>
        <w:t xml:space="preserve">организует подведение итогов инвентаризации;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ab/>
        <w:t xml:space="preserve">принимает решения о приостановке инвентаризации и назначает новые сроки в случаях, установленных пунктом 3.7 настоящего положения;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ab/>
        <w:t xml:space="preserve">несет персональную ответственность за выполнение возложенных на Комиссию задач.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3.2. Сос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тав Комиссии назначается приказом руководителя учреждения перед началом каждой инвентаризации. Комиссия состоит из трех человек: председатель комиссии и два члена комиссии. Все члены комиссии имеют право голоса и принимают решения по итогам инвентаризации.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В состав Комиссии могут включаться: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ab/>
        <w:t xml:space="preserve">представители администрации учреждения;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ab/>
        <w:t xml:space="preserve">сотрудники бухгалтерии;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ab/>
        <w:t xml:space="preserve">специалисты других служб и отделов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учреждения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Бухгалтер обязательно должен быть членом комиссии с правом голоса, при проверке: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ab/>
        <w:t xml:space="preserve">денег: наличных и безналичных;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ab/>
        <w:t xml:space="preserve">средств во временном распоряжении;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ab/>
        <w:t xml:space="preserve">расчетов с дебиторами и кредиторами, которых рассчитывает бухгалтерия.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3.3. Заседание инвентаризационной комиссии проводится при наличии всех членов комиссии.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3.4. Проведение инвентаризации приостанавливается в случаях чрезвычайных ситуаций, когда проводить инвентаризацию опасно.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3.5. При бол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ьшом количестве инвентаризируемых объектов, в том числе при проведении инвентаризации перед составлением годовой отчетности, руководитель вправе создать рабочие инвентаризационные комиссии, которые руководствуются в своей деятельности настоящим положением.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В полномочия рабочих комиссий входит непосредственно процедура проведения инвентаризации по объектам, закрепленным за рабочей комиссией решением о проведении инвентаризации (ф. 0510439), и оформление инвентаризационных описей.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Ответственным лицом рабочей комиссии назначается один из членов комиссии, имеющий право голоса при вынесении решения о результатах инвентаризации.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В случае отсутствия ответственного лица рабочей комиссии по уважительной или не зависящей от него причине, возникшей после начала проведения инвентаризации, полномочия ответственного лица рабочей группы возлагаются на Председателя комиссии.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3.6. Ответственные (в том числе с материальной ответственностью) лица в состав Комиссии не входят. При проверке имущества присутствие ответственных лиц обязательно.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3.7. Комиссия проводит инвентаризации: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ab/>
        <w:t xml:space="preserve">внеочередные: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– при передаче имущества в аренду, при выкупе, продаже;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– при смене ответственных лиц;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– при выявлении фактов хищений, злоупотреблений или порчи имущества;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– при нарушении правил хранения имущества;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– в случае стихийного бедствия, пожара, аварий или других чрезвычайных ситуаций, вызванных экстремальными условиями;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– при реорганизации или ликвидации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учреждения;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ab/>
        <w:t xml:space="preserve">ежегодные – по графику, утвержденному решением (ф. 0510439), в том числе перед составлением годовой бухгалтерской отчетности;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ab/>
        <w:t xml:space="preserve">внезапные инвентаризации кассы – по решению руководителя, в том числе при нарушении правил приемки имущества;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ab/>
        <w:t xml:space="preserve">в других случаях, предусмотренных законодательством и иными нормативно-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правовыми документами.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3.8. Проведение инвентаризации имущества возможно с применением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видеофиксации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или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фотофиксации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фактического наличия или отсутствия имущества в режиме реального времени с присутствием отдельных членов Комиссии или членов рабочей инвентаризационной комиссии по местонахождению имущества. Комиссия проводит инвентаризацию с применением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видеофиксации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или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фотофиксации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по правилам, установленным в разделе 5 порядка проведения инвентаризации.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ru-RU"/>
        </w:rPr>
        <w:t xml:space="preserve">4. Полномочия Комиссии при проведении инвентаризации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4.1. Комиссия осуществляет полномочия: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ab/>
        <w:t xml:space="preserve">проверяет фактическое наличие активов и обязательств, сверяет их с данными бухгалтерского учета;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ab/>
        <w:t xml:space="preserve">дает оценку активам и обязательствам: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ab/>
        <w:t xml:space="preserve">оформляет документально результаты проведения инвентаризации;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ab/>
        <w:t xml:space="preserve">рассматривает (в том числе с привлечением на добровольных началах квалифицированных экспертов) материалы, представленные в ходе инвентаризации;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ab/>
        <w:t xml:space="preserve">подводит итоги инвентаризации, в том числе классифицирует отклонения – излишки, недостачи, пересортица и пр.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4.2. В ходе оценки активов и обязательств комиссия: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ab/>
        <w:t xml:space="preserve">проверяет нефинансовые и финансовые активы на соответствие критериям актива;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ab/>
        <w:t xml:space="preserve">выявляет признаки обесценения активов;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ab/>
        <w:t xml:space="preserve">определяет целевую функцию актива и статус объекта учета;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ab/>
        <w:t xml:space="preserve">определяет возможность дальнейшей эксплуатации имущества;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ab/>
        <w:t xml:space="preserve">оценивает возможность списания имущества;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ab/>
        <w:t xml:space="preserve">оценивает основания для возмещения недостачи;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ab/>
        <w:t xml:space="preserve">выявляет основания для изменения стоимостных оценок объектов инвентаризации.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4.3. В ходе проведения инвентаризации финансовых активов и обязательств Комиссия (рабочая инвентаризационная комиссия) дополнительно определяет признаки и устанавливает: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ab/>
        <w:t xml:space="preserve">безнадежной к взысканию дебиторской задолженности;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ab/>
        <w:t xml:space="preserve">сомнительной задолженности неплатежеспособных дебиторов, в том числе несоответствия задолженности критериям признания ее активом;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ab/>
        <w:t xml:space="preserve">суммы невостребованной в срок (просроченной и (или) неподтвержденной по результатам инвентаризации) кредиторской задолженности;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ab/>
        <w:t xml:space="preserve">суммы переплат доходов (источников финансирования дефицита);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ab/>
        <w:t xml:space="preserve">суммы дебиторской и кредиторской задолженности, подлежащие восстановлению на балансовом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забалансовом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) учете в соответствии с действующим законодательством Российской Федерации;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ab/>
        <w:t xml:space="preserve">суммы средств во временном распоряжении, которые подлежат перечислению в доход федерального бюджета, при наличии оснований, установленных законодательством Российской Федерации;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ab/>
        <w:t xml:space="preserve">правовые основания, включая даты исполнения, возникновения расчетов.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ru-RU"/>
        </w:rPr>
        <w:t xml:space="preserve">5. Порядок работы комиссии и принятия решений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5.1. Комиссия при проведении инвентари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зации обеспечивает полноту и точность внесения в описи данных о фактических остатках основных средств, материальных запасов, денежных средств, другого имущества и финансовых обязательств, правильность и своевременность оформления материалов инвентаризации.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Описи в двух экземплярах подписывают все члены Комиссии и ответственные лица.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5.2. Инвентаризационная опись (сличительная ведомость) по объектам нефинансовых активов (ф. 0504087) применяется для отражения результатов проведенной в Учреждении инвентаризации объектов нефинансовых активов.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Комиссия (рабочая инвентаризационная комиссия) обеспечивают полноту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и точность внесения в инвентаризационные описи данных о фактических остатках имущества.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Инвентаризационные описи формируются ответственным сотрудником бухгалтерии.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5.3. Инвентаризация имущества проводится по его местонахождению и ответственным лицам. При инвентаризации имущества обязательно присутствие ответственного лица.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5.4.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Комиссия (рабочая инвентаризационная комиссия) при проведении инвентаризации обеспечивает полноту и точность внесения в инвентаризационные описи данных о фактических остатках имущества, правильность и своевременность оформления результатов инвентаризации.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5.5. При инвентаризации объектов имущества Комиссия (рабочая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инвентаризационная комиссия) производит осмотр объектов и заносит в описи полное их наименование, инвентарные номера, проводит сверку инвентарных номеров, указанных в инвентаризационных описях с данными инвентарного номера, указанного на объекте имущества.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На каждую группу и вид имущества, в том числе учитываемого 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забалансовых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счетах, формируются отдельные инвентаризационные описи.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Если инвентаризация имущества проводится в течение нескольких дней,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то помещения, где хранятся материальные ценности, при уходе Комиссии (рабочей инвентаризационной комиссии) должны быть опечатаны. Во время перерывов в работе Комисси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и(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рабочей инвентаризационной комиссии) (в обеденный перерыв, в ночное время, по другим причинам) инвентаризационные описи должны храниться в ящике (шкафу, сейфе) в закрытом помещении.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В исключительных случаях, когда возникает необходимость в выдаче имущества со склада в процессе инвентаризации, ответственным лицом, с которым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заключен договор о полной материальной ответственности может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быть произведен отпуск материальных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ценностей только с разрешения руководителя (уполномоченным им лицом)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чреждения и главного бухгалтера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чреждения в присутствии членов Комиссии (рабочей инвентаризационной комиссии).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Статус объекта учета и целевая функция актива оформляются в инвентаризационной описи с указанием их наименования в 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с Приказами Минфина от 30.03.2015 № 52н, от 15.04.2021 № 61н.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При инвентаризации зданий, сооружений, земельных участков комиссия проверяет наличие документов о закреплении права оперативного управления этими объектами, иного права владения.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5.6. При инвентаризации нематериальных активов комиссия проверяет: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ab/>
        <w:t xml:space="preserve">наличие документов, подтверждающих права организации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их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использование;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ab/>
        <w:t xml:space="preserve">правильность и своевременность отражения нематериальных активов в балансе.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При инвентаризации прав пользования на результаты интеллектуальной деятельности комиссия проверяет наличие лицензионных договоров (лицензий), либо иных документов, подтверждающих существование права на результаты интеллектуальной деятельности.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По результатам инвентаризации прав пользования на результаты интеллектуальной деятельности, в целях составления годовой бюджетной отчетности, срок их полезного испо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льзования, в том числе прав пользования на результаты интеллектуальной деятельности с неопределенным сроком полезного использования уточняется, в случае изменения факторов и (или) условий их использования, указанных в пункте 27 СГС «Нематериальные активы».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При инвентаризации материальных запасов Комиссия в присутствии ответственного лица должна пересчитать, перевесить или перемерить имеющиеся по месту хранения материальные ценности.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5.7. Инвентаризация кассы производится Комиссией не реже одного раза в квартал, а также в случаях передачи наличных денежных сре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дств др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угому сотруднику, временно замещающему кассира.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Плановая инвентаризация кассы производится Комиссией (рабочей инвентаризационной комиссией) перед представлением отчетности. Внеплановые инвентаризации кассы (в случаях передачи наличных денежных сре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дств др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угому работнику, временно замещающему кассира) и внезапные ревизии кассы проводятся на основании Решения (ф. 0510439).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При проведении инвентаризации кассы проводится полный полистный пересчет денежной наличности и проверка других ценностей, находящихся в кассе. Остаток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денежной наличности в кассе сверяется с данными бюджетного учета по Кассовой книге (ф. 0504514).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При проведении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внеплановой ревизии кассы проводится проверка осуществления кассовых и банковских операций, условий, обеспечивающих сохранность денежных средств и денежных документов, полноты и своевременности отражения в бюджетном учете поступления наличных денежных сре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дств в 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ассу, использования полученных средств по целевому назначению, соблюдения лимита остатка денежных средств в кассе.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Проверка фактического наличия бланков строгой отчетности производится по видам бланков с учетом начальных и конечных номеров тех или иных бланков.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Результаты инвентаризация денежных сре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дств в 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ассе оформляются Актом о результат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ах инвентаризации наличных денежных средств (ф. 0510836). Акт (ф. 0510836) формируется на основании данных Инвентаризационной описи наличных денежных средств (ф. 0504088) ответственным исполнителем из состава Комиссии (рабочей инвентаризационной комиссии).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5.8. При инвентаризации показателей учета 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забалансовых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счетах необходимо, в том числе, обеспечить сверку (установить):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ab/>
        <w:t xml:space="preserve">перечня банковских гарантий, размещенных в Единой информационной системе в сфере закупок товаров, работ, услуг с показателями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забалансового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счета 10 «Обеспечение исполнения обязательств», включая сверку банковских гарантий, которые не подлежат размещению в реестре банковских гарантий согласно положениям Федерального закона от 05.04.2013 № 44-ФЗ;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ab/>
        <w:t xml:space="preserve">финансовых организаций, выдавших банковские гарантии с Единым государственным реестром юридических лиц, в части действующих обязательств поставщиков, подрядчиков, исполнителей;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ab/>
        <w:t xml:space="preserve">сроки исковой давности по задолженности, не востребованной кредиторами.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5.9. При инвентаризации расчетов Комиссия путем документальной проверки устанавливает: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ab/>
        <w:t xml:space="preserve">правильность расчетов с банками, финансовыми, налоговыми органами,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внебюджетными фондами, другими организациями;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ab/>
        <w:t xml:space="preserve">правильность и обоснованность числящейся в бухгалтерском учете суммы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задолженности по недостачам и хищениям;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ab/>
        <w:t xml:space="preserve">правильность и обоснованность сумм дебиторской и кредиторской задолженности, по которым истекли сроки исковой давности.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Результаты инвентаризации расчетов с покупателями, поставщиками, иными дебиторами и кредиторами, резервов предстоящих расходов, расходов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и доходов будущих периодов направляются главному бухгалтеру в целях отражения результатов инвентаризации в бухгалтерском учете и раскрытию информации в годовой отчетности.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5.10. При инвентаризации остатков на счетах учета денежных средств показатели бухгалтерского учета сверяются с показателями, отраженными в Выписке из лицевого счета.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5.11. По итогам инвентаризации комиссия проводит заседание, которое считается правомочным, если в нем приняли участие все члены комиссии.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5.12. В ходе заседания комиссия анализирует выявленные расхождения, предлагает способы устранения обнаруженных расхождений фактического наличия объектов и данных бухгалтерского учета.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На заседании комиссия оценивает наличие: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а) обстоятельств, указывающих на необходимость принятия решения о списании имущества – при инвентаризации нефинансовых активов. В частности, оценивает физический 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ли моральный износ, нарушения условий содержания или эксплуатации, влияние на состояние имущества аварий, стихийных бедствий, иных чрезвычайных ситуаций, длительного неиспользования имущества или иных причин, которые привели к необходимости принятия решени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я о списании имущества. Одновременно комиссия рассматривает вопрос целесообразности дальнейшего использования имущества, возможности и эффективности его восстановления, возможности использования отдельных узлов, деталей, конструкций и материалов имущества;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б) оснований для возмещения недостачи или ущерба;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в) в отношении активов – фактов несоответствия актива критериям его признания в бухгалтерском учете;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г) обстоятельств, указывающих на правомерность признания просроченной дебиторской задолженности сомнительной или безнадежной к взысканию;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д) обязательств, не востребованных в течение срока исковой давности кредитором;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е) оснований для признания в учете выявленных излишков, для выбытия недостающих объектов с учета или корректировки бухгалтерских данных при пересортице. Основания для принятия к учету выявленных излишков выясняются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в ходе проверки, целью которой является выявление причин излишков и их собственников. Такую проверку проводит инвентаризационная комиссия во время инвентаризации, либо комиссия по поступлению и выбытию активов на основании решения руководителя учреждения;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ж) оснований для обесценения, изменения стоимости объектов.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5.13. Решения принимаются простым большинством голосов от числа присутствующих на заседании членов Комиссии (рабочей инвентаризационной комиссии).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Решения и заключения комиссии оформляются в инвентаризационных описях. На разниц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у в стоимости от пересортицы в сторону недостачи, образовавшейся не по вине материально ответственных лиц, в заключениях инвентаризационной комиссии должны быть даны исчерпывающие объяснения о причинах, по которым такая разница не отнесена на виновных лиц.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ru-RU"/>
        </w:rPr>
        <w:t xml:space="preserve">6. Оформление результатов инвентаризации и регулирование выявленных расхождений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6.1. Акт о результатах инвентаризации (ф. 0510463) применяется для обобщения результатов проведенной инвентаризационной комиссией инвентаризац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ии и ее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документального оформления. В Акте (ф. 0510463) обобщаются результаты инвентаризации, отраженные в инвентаризационных описях, если инвентариз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ация по группам объектов была проведена по одному Решению (ф. 0510439) и по состоянию на одну дату. Акт (ф. 0510463) оформляется не позднее дня, следующего за днем окончания инвентаризации по всем группам объектов, проведенных инвентаризационной комиссией.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Акт (ф. 0510463) формируется на основании данных инвентаризационных описей (сличительных ведомостей) секретарем (ответственным исполнителем из состава Комиссии), уполномоченным на его формирование.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6.2. В Акте (ф. 0510463) в разделах 2 "Результаты инвентари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зации с выявленными отклонениями", 3 "Результаты выявления качественных характеристик" в случае выявления отклонений указывается заключение Комиссии по каждому случаю выявленных отклонений, принятое Решение Комиссии по каждому случаю выявленных отклонений.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6.3. Акт (ф. 0510463) подписывается членами Комиссии, председателем Комиссии. В случаях если Решением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ф. 0510439) назначены рабочие инвентаризационные комиссии, Акт (ф. 0510463) подписывается председателем Комиссии и уполномоченными председателем Комиссии лицами от рабочих инвентаризационных комиссий. Акт (ф. 0510463) утверждается руководителем учреждения.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6.4. По всем недостачам, излишкам, порчи имущества Комиссия (рабочая инвентаризационная комиссия) получает письменные объяснения от ответственных лиц, с которыми заключен догово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р о полной материальной ответственности. Они должны быть отражены в инвентаризационных описях (актах). На основании представленных объяснений и материалов проверок Комиссия определяет причины и характер выявленных отклонений от данных бухгалтерского учета.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Письменные объяснения направляются председателем Комиссии (рабочей инвентаризационной комиссией) руководителю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чреждения.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При необходимости и по согласованию с руководителем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чреждения материалы инвентаризации направляются председателем Комиссии в судебные органы для предъявления судебного иска.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6.3. В случае выявлени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я излишков имущества инвентаризационная комиссия инициирует проверку, целью которой является выявление причин излишков и их собственников. Такую проверку проводит инвентаризационная комиссия во время инвентаризации. Если силами инвентаризационной комиссии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провести такую проверку невозможно, председатель комиссии уведомляет об этом руководителя учреждения в служебной записке, на основании которой руководитель выносит решение проведении проверки вне инвентаризации – комиссией по поступлению и выбытию активов.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6.4. По результатам инвентаризации председатель Комиссии подготавливает руководителю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учреждения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предложения: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ab/>
        <w:t xml:space="preserve">по отнесению недостач имущества, а также имущества, пришедшего в негодность, за счет виновных лиц либо по их списанию;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ab/>
        <w:t xml:space="preserve">по оприходованию излишков;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ab/>
        <w:t xml:space="preserve">по списанию нереальной к взысканию дебиторской и невостребованной кредиторской задолженности;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ab/>
        <w:t xml:space="preserve">по оптимизации приема, хранения и отпуска материальных ценностей;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ab/>
        <w:t xml:space="preserve">другие предложения.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6.5. На основании утвержденного руководителем учреждения Акта (ф. 0510463)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соответствии с решением инвентаризационной комиссии, не позднее рабочего дня, следующего за днем его утверждения, для целей отражения в бухгалтерском учете выявленных отклонений осуществляется формирование одного из документов в зависимости от результатов: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ab/>
        <w:t xml:space="preserve">Решение о прекращении признания активами объектов нефинансовых активов (ф. 0510440);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ab/>
        <w:t xml:space="preserve">Акт о приеме-передаче объектов нефинансовых активов (ф. 0510448);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ab/>
        <w:t xml:space="preserve">Накладная на внутреннее перемещение объектов нефинансовых активов (ф. 0510450);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ab/>
        <w:t xml:space="preserve">Акт о признании безнадежной к взысканию задолженности по доходам (ф. 0510436);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ab/>
        <w:t xml:space="preserve">Решение о списании задолженности, невостребованной кредиторами, со счета __ (ф. 0510437);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ab/>
        <w:t xml:space="preserve">Решение о признании (восстановлении) сомнительной задолженности по доходам (ф. 0510445);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Решении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о восстановлении кредиторской задолженности (ф. 0510446),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ab/>
        <w:t xml:space="preserve">соответствующих актов на списание объектов нефинансовых активов (для списания недостач);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ab/>
        <w:t xml:space="preserve">иных документов.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ru-RU"/>
        </w:rPr>
        <w:t xml:space="preserve">7. Права Комиссии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7.1. Комиссия имеет право: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ab/>
        <w:t xml:space="preserve">требовать создания условий, обеспечивающих полную и точную проверку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фактического наличия имущества;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ab/>
        <w:t xml:space="preserve">опечатать складские и другие служебные помещения при уходе членов Комиссии, если инвентаризация проводится в течение нескольких дней.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ru-RU"/>
        </w:rPr>
        <w:t xml:space="preserve">8. Ответственность Комиссии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8.1. Комиссия несет ответственность: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ab/>
        <w:t xml:space="preserve">за полноту и точность внесения в инвентаризационные описи (сличительные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ведомости) данных о фактическом наличии (об остатках) объектов инвентаризации;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ab/>
        <w:t xml:space="preserve">за правильность указания в инвентаризационных описях (сличительных ведомостях) признаков нефинансовых и финансовых активов (наименование, тип, марка и другие признаки);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ab/>
        <w:t xml:space="preserve">за сокрытие выявленных нарушений;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ab/>
        <w:t xml:space="preserve">за правильность и своевременность оформления результатов инвентаризации.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ru-RU"/>
        </w:rPr>
        <w:t xml:space="preserve">9. Заключительные положения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9.1. Все изменения и дополнения к настоящему положению утверждаются руководителем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учреждения.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9.2. Если в результате изменения действующего законодательства России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 России.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9.3. Хранение документов по результатам инвентаризации осуществляется бухгалтерией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чреждения.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Start w:id="0" w:name="_GoBack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sectPr>
      <w:footnotePr/>
      <w:endnotePr/>
      <w:type w:val="nextPage"/>
      <w:pgSz w:h="16838" w:orient="landscape" w:w="11906"/>
      <w:pgMar w:top="567" w:right="567" w:bottom="567" w:left="567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000000"/>
        <w:sz w:val="34"/>
        <w:highlight w:val="white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  <w:color w:val="000000"/>
        <w:sz w:val="34"/>
        <w:highlight w:val="white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  <w:color w:val="000000"/>
        <w:sz w:val="34"/>
        <w:highlight w:val="white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  <w:color w:val="000000"/>
        <w:sz w:val="34"/>
        <w:highlight w:val="white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  <w:color w:val="000000"/>
        <w:sz w:val="34"/>
        <w:highlight w:val="white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  <w:color w:val="000000"/>
        <w:sz w:val="34"/>
        <w:highlight w:val="white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  <w:color w:val="000000"/>
        <w:sz w:val="34"/>
        <w:highlight w:val="white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  <w:color w:val="000000"/>
        <w:sz w:val="34"/>
        <w:highlight w:val="white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  <w:color w:val="000000"/>
        <w:sz w:val="34"/>
        <w:highlight w:val="white"/>
      </w:rPr>
      <w:start w:val="1"/>
      <w:suff w:val="tab"/>
    </w:lvl>
  </w:abstractNum>
  <w:abstractNum w:abstractNumId="1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000000"/>
        <w:sz w:val="34"/>
        <w:highlight w:val="white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  <w:color w:val="000000"/>
        <w:sz w:val="34"/>
        <w:highlight w:val="white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  <w:color w:val="000000"/>
        <w:sz w:val="34"/>
        <w:highlight w:val="white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  <w:color w:val="000000"/>
        <w:sz w:val="34"/>
        <w:highlight w:val="white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  <w:color w:val="000000"/>
        <w:sz w:val="34"/>
        <w:highlight w:val="white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  <w:color w:val="000000"/>
        <w:sz w:val="34"/>
        <w:highlight w:val="white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  <w:color w:val="000000"/>
        <w:sz w:val="34"/>
        <w:highlight w:val="white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  <w:color w:val="000000"/>
        <w:sz w:val="34"/>
        <w:highlight w:val="white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  <w:color w:val="000000"/>
        <w:sz w:val="34"/>
        <w:highlight w:val="white"/>
      </w:rPr>
      <w:start w:val="1"/>
      <w:suff w:val="tab"/>
    </w:lvl>
  </w:abstractNum>
  <w:abstractNum w:abstractNumId="2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000000"/>
        <w:sz w:val="34"/>
        <w:highlight w:val="white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  <w:color w:val="000000"/>
        <w:sz w:val="34"/>
        <w:highlight w:val="white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  <w:color w:val="000000"/>
        <w:sz w:val="34"/>
        <w:highlight w:val="white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  <w:color w:val="000000"/>
        <w:sz w:val="34"/>
        <w:highlight w:val="white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  <w:color w:val="000000"/>
        <w:sz w:val="34"/>
        <w:highlight w:val="white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  <w:color w:val="000000"/>
        <w:sz w:val="34"/>
        <w:highlight w:val="white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  <w:color w:val="000000"/>
        <w:sz w:val="34"/>
        <w:highlight w:val="white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  <w:color w:val="000000"/>
        <w:sz w:val="34"/>
        <w:highlight w:val="white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  <w:color w:val="000000"/>
        <w:sz w:val="34"/>
        <w:highlight w:val="white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1080"/>
      </w:pPr>
      <w:rPr/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440"/>
      </w:pPr>
      <w:rPr/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440"/>
      </w:pPr>
      <w:rPr/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800"/>
      </w:pPr>
      <w:rPr/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800"/>
      </w:pPr>
      <w:rPr/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160"/>
      </w:pPr>
      <w:rPr/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520"/>
      </w:pPr>
      <w:rPr/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520"/>
      </w:pPr>
      <w:rPr/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28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1080"/>
      </w:pPr>
      <w:rPr/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440"/>
      </w:pPr>
      <w:rPr/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440"/>
      </w:pPr>
      <w:rPr/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800"/>
      </w:pPr>
      <w:rPr/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800"/>
      </w:pPr>
      <w:rPr/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160"/>
      </w:pPr>
      <w:rPr/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520"/>
      </w:pPr>
      <w:rPr/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520"/>
      </w:pPr>
      <w:rPr/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28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1080"/>
      </w:pPr>
      <w:rPr/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440"/>
      </w:pPr>
      <w:rPr/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440"/>
      </w:pPr>
      <w:rPr/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800"/>
      </w:pPr>
      <w:rPr/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800"/>
      </w:pPr>
      <w:rPr/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160"/>
      </w:pPr>
      <w:rPr/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520"/>
      </w:pPr>
      <w:rPr/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520"/>
      </w:pPr>
      <w:rPr/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288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3"/>
    <w:next w:val="843"/>
    <w:link w:val="667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45"/>
    <w:link w:val="666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8">
    <w:name w:val="Heading 2 Char"/>
    <w:basedOn w:val="845"/>
    <w:link w:val="844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69">
    <w:name w:val="Heading 3"/>
    <w:basedOn w:val="843"/>
    <w:next w:val="84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70">
    <w:name w:val="Heading 3 Char"/>
    <w:basedOn w:val="845"/>
    <w:link w:val="669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71">
    <w:name w:val="Heading 4"/>
    <w:basedOn w:val="843"/>
    <w:next w:val="84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2">
    <w:name w:val="Heading 4 Char"/>
    <w:basedOn w:val="845"/>
    <w:link w:val="671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73">
    <w:name w:val="Heading 5"/>
    <w:basedOn w:val="843"/>
    <w:next w:val="84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4">
    <w:name w:val="Heading 5 Char"/>
    <w:basedOn w:val="845"/>
    <w:link w:val="673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75">
    <w:name w:val="Heading 6"/>
    <w:basedOn w:val="843"/>
    <w:next w:val="843"/>
    <w:link w:val="676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6">
    <w:name w:val="Heading 6 Char"/>
    <w:basedOn w:val="845"/>
    <w:link w:val="675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77">
    <w:name w:val="Heading 7"/>
    <w:basedOn w:val="843"/>
    <w:next w:val="843"/>
    <w:link w:val="678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8">
    <w:name w:val="Heading 7 Char"/>
    <w:basedOn w:val="845"/>
    <w:link w:val="677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843"/>
    <w:next w:val="843"/>
    <w:link w:val="680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0">
    <w:name w:val="Heading 8 Char"/>
    <w:basedOn w:val="845"/>
    <w:link w:val="679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81">
    <w:name w:val="Heading 9"/>
    <w:basedOn w:val="843"/>
    <w:next w:val="843"/>
    <w:link w:val="682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2">
    <w:name w:val="Heading 9 Char"/>
    <w:basedOn w:val="845"/>
    <w:link w:val="681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83">
    <w:name w:val="List Paragraph"/>
    <w:basedOn w:val="843"/>
    <w:uiPriority w:val="34"/>
    <w:qFormat/>
    <w:pPr>
      <w:pBdr/>
      <w:spacing/>
      <w:ind w:left="720"/>
      <w:contextualSpacing w:val="true"/>
    </w:pPr>
  </w:style>
  <w:style w:type="paragraph" w:styleId="684">
    <w:name w:val="No Spacing"/>
    <w:uiPriority w:val="1"/>
    <w:qFormat/>
    <w:pPr>
      <w:pBdr/>
      <w:spacing w:after="0" w:before="0" w:line="240" w:lineRule="auto"/>
      <w:ind/>
    </w:pPr>
  </w:style>
  <w:style w:type="paragraph" w:styleId="685">
    <w:name w:val="Title"/>
    <w:basedOn w:val="843"/>
    <w:next w:val="843"/>
    <w:link w:val="686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86">
    <w:name w:val="Title Char"/>
    <w:basedOn w:val="845"/>
    <w:link w:val="685"/>
    <w:uiPriority w:val="10"/>
    <w:pPr>
      <w:pBdr/>
      <w:spacing/>
      <w:ind/>
    </w:pPr>
    <w:rPr>
      <w:sz w:val="48"/>
      <w:szCs w:val="48"/>
    </w:rPr>
  </w:style>
  <w:style w:type="paragraph" w:styleId="687">
    <w:name w:val="Subtitle"/>
    <w:basedOn w:val="843"/>
    <w:next w:val="843"/>
    <w:link w:val="688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88">
    <w:name w:val="Subtitle Char"/>
    <w:basedOn w:val="845"/>
    <w:link w:val="687"/>
    <w:uiPriority w:val="11"/>
    <w:pPr>
      <w:pBdr/>
      <w:spacing/>
      <w:ind/>
    </w:pPr>
    <w:rPr>
      <w:sz w:val="24"/>
      <w:szCs w:val="24"/>
    </w:rPr>
  </w:style>
  <w:style w:type="paragraph" w:styleId="689">
    <w:name w:val="Quote"/>
    <w:basedOn w:val="843"/>
    <w:next w:val="843"/>
    <w:link w:val="690"/>
    <w:uiPriority w:val="29"/>
    <w:qFormat/>
    <w:pPr>
      <w:pBdr/>
      <w:spacing/>
      <w:ind w:right="720" w:left="720"/>
    </w:pPr>
    <w:rPr>
      <w:i/>
    </w:rPr>
  </w:style>
  <w:style w:type="character" w:styleId="690">
    <w:name w:val="Quote Char"/>
    <w:link w:val="689"/>
    <w:uiPriority w:val="29"/>
    <w:pPr>
      <w:pBdr/>
      <w:spacing/>
      <w:ind/>
    </w:pPr>
    <w:rPr>
      <w:i/>
    </w:rPr>
  </w:style>
  <w:style w:type="paragraph" w:styleId="691">
    <w:name w:val="Intense Quote"/>
    <w:basedOn w:val="843"/>
    <w:next w:val="843"/>
    <w:link w:val="69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92">
    <w:name w:val="Intense Quote Char"/>
    <w:link w:val="691"/>
    <w:uiPriority w:val="30"/>
    <w:pPr>
      <w:pBdr/>
      <w:spacing/>
      <w:ind/>
    </w:pPr>
    <w:rPr>
      <w:i/>
    </w:rPr>
  </w:style>
  <w:style w:type="paragraph" w:styleId="693">
    <w:name w:val="Header"/>
    <w:basedOn w:val="843"/>
    <w:link w:val="694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94">
    <w:name w:val="Header Char"/>
    <w:basedOn w:val="845"/>
    <w:link w:val="693"/>
    <w:uiPriority w:val="99"/>
    <w:pPr>
      <w:pBdr/>
      <w:spacing/>
      <w:ind/>
    </w:pPr>
  </w:style>
  <w:style w:type="paragraph" w:styleId="695">
    <w:name w:val="Footer"/>
    <w:basedOn w:val="843"/>
    <w:link w:val="69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96">
    <w:name w:val="Footer Char"/>
    <w:basedOn w:val="845"/>
    <w:link w:val="695"/>
    <w:uiPriority w:val="99"/>
    <w:pPr>
      <w:pBdr/>
      <w:spacing/>
      <w:ind/>
    </w:pPr>
  </w:style>
  <w:style w:type="paragraph" w:styleId="697">
    <w:name w:val="Caption"/>
    <w:basedOn w:val="843"/>
    <w:next w:val="843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98">
    <w:name w:val="Caption Char"/>
    <w:basedOn w:val="697"/>
    <w:link w:val="695"/>
    <w:uiPriority w:val="99"/>
    <w:pPr>
      <w:pBdr/>
      <w:spacing/>
      <w:ind/>
    </w:pPr>
  </w:style>
  <w:style w:type="table" w:styleId="699">
    <w:name w:val="Table Grid"/>
    <w:basedOn w:val="84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Table Grid Light"/>
    <w:basedOn w:val="84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1"/>
    <w:basedOn w:val="84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2"/>
    <w:basedOn w:val="84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"/>
    <w:basedOn w:val="8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1"/>
    <w:basedOn w:val="8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2"/>
    <w:basedOn w:val="8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3"/>
    <w:basedOn w:val="8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4"/>
    <w:basedOn w:val="8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5"/>
    <w:basedOn w:val="8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6"/>
    <w:basedOn w:val="8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1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2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3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4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5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6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1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2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3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4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5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6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25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26">
    <w:name w:val="footnote text"/>
    <w:basedOn w:val="843"/>
    <w:link w:val="827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27">
    <w:name w:val="Footnote Text Char"/>
    <w:link w:val="826"/>
    <w:uiPriority w:val="99"/>
    <w:pPr>
      <w:pBdr/>
      <w:spacing/>
      <w:ind/>
    </w:pPr>
    <w:rPr>
      <w:sz w:val="18"/>
    </w:rPr>
  </w:style>
  <w:style w:type="character" w:styleId="828">
    <w:name w:val="footnote reference"/>
    <w:basedOn w:val="845"/>
    <w:uiPriority w:val="99"/>
    <w:unhideWhenUsed/>
    <w:pPr>
      <w:pBdr/>
      <w:spacing/>
      <w:ind/>
    </w:pPr>
    <w:rPr>
      <w:vertAlign w:val="superscript"/>
    </w:rPr>
  </w:style>
  <w:style w:type="paragraph" w:styleId="829">
    <w:name w:val="endnote text"/>
    <w:basedOn w:val="843"/>
    <w:link w:val="830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30">
    <w:name w:val="Endnote Text Char"/>
    <w:link w:val="829"/>
    <w:uiPriority w:val="99"/>
    <w:pPr>
      <w:pBdr/>
      <w:spacing/>
      <w:ind/>
    </w:pPr>
    <w:rPr>
      <w:sz w:val="20"/>
    </w:rPr>
  </w:style>
  <w:style w:type="character" w:styleId="831">
    <w:name w:val="endnote reference"/>
    <w:basedOn w:val="845"/>
    <w:uiPriority w:val="99"/>
    <w:semiHidden/>
    <w:unhideWhenUsed/>
    <w:pPr>
      <w:pBdr/>
      <w:spacing/>
      <w:ind/>
    </w:pPr>
    <w:rPr>
      <w:vertAlign w:val="superscript"/>
    </w:rPr>
  </w:style>
  <w:style w:type="paragraph" w:styleId="832">
    <w:name w:val="toc 1"/>
    <w:basedOn w:val="843"/>
    <w:next w:val="843"/>
    <w:uiPriority w:val="39"/>
    <w:unhideWhenUsed/>
    <w:pPr>
      <w:pBdr/>
      <w:spacing w:after="57"/>
      <w:ind w:right="0" w:firstLine="0" w:left="0"/>
    </w:pPr>
  </w:style>
  <w:style w:type="paragraph" w:styleId="833">
    <w:name w:val="toc 2"/>
    <w:basedOn w:val="843"/>
    <w:next w:val="843"/>
    <w:uiPriority w:val="39"/>
    <w:unhideWhenUsed/>
    <w:pPr>
      <w:pBdr/>
      <w:spacing w:after="57"/>
      <w:ind w:right="0" w:firstLine="0" w:left="283"/>
    </w:pPr>
  </w:style>
  <w:style w:type="paragraph" w:styleId="834">
    <w:name w:val="toc 3"/>
    <w:basedOn w:val="843"/>
    <w:next w:val="843"/>
    <w:uiPriority w:val="39"/>
    <w:unhideWhenUsed/>
    <w:pPr>
      <w:pBdr/>
      <w:spacing w:after="57"/>
      <w:ind w:right="0" w:firstLine="0" w:left="567"/>
    </w:pPr>
  </w:style>
  <w:style w:type="paragraph" w:styleId="835">
    <w:name w:val="toc 4"/>
    <w:basedOn w:val="843"/>
    <w:next w:val="843"/>
    <w:uiPriority w:val="39"/>
    <w:unhideWhenUsed/>
    <w:pPr>
      <w:pBdr/>
      <w:spacing w:after="57"/>
      <w:ind w:right="0" w:firstLine="0" w:left="850"/>
    </w:pPr>
  </w:style>
  <w:style w:type="paragraph" w:styleId="836">
    <w:name w:val="toc 5"/>
    <w:basedOn w:val="843"/>
    <w:next w:val="843"/>
    <w:uiPriority w:val="39"/>
    <w:unhideWhenUsed/>
    <w:pPr>
      <w:pBdr/>
      <w:spacing w:after="57"/>
      <w:ind w:right="0" w:firstLine="0" w:left="1134"/>
    </w:pPr>
  </w:style>
  <w:style w:type="paragraph" w:styleId="837">
    <w:name w:val="toc 6"/>
    <w:basedOn w:val="843"/>
    <w:next w:val="843"/>
    <w:uiPriority w:val="39"/>
    <w:unhideWhenUsed/>
    <w:pPr>
      <w:pBdr/>
      <w:spacing w:after="57"/>
      <w:ind w:right="0" w:firstLine="0" w:left="1417"/>
    </w:pPr>
  </w:style>
  <w:style w:type="paragraph" w:styleId="838">
    <w:name w:val="toc 7"/>
    <w:basedOn w:val="843"/>
    <w:next w:val="843"/>
    <w:uiPriority w:val="39"/>
    <w:unhideWhenUsed/>
    <w:pPr>
      <w:pBdr/>
      <w:spacing w:after="57"/>
      <w:ind w:right="0" w:firstLine="0" w:left="1701"/>
    </w:pPr>
  </w:style>
  <w:style w:type="paragraph" w:styleId="839">
    <w:name w:val="toc 8"/>
    <w:basedOn w:val="843"/>
    <w:next w:val="843"/>
    <w:uiPriority w:val="39"/>
    <w:unhideWhenUsed/>
    <w:pPr>
      <w:pBdr/>
      <w:spacing w:after="57"/>
      <w:ind w:right="0" w:firstLine="0" w:left="1984"/>
    </w:pPr>
  </w:style>
  <w:style w:type="paragraph" w:styleId="840">
    <w:name w:val="toc 9"/>
    <w:basedOn w:val="843"/>
    <w:next w:val="843"/>
    <w:uiPriority w:val="39"/>
    <w:unhideWhenUsed/>
    <w:pPr>
      <w:pBdr/>
      <w:spacing w:after="57"/>
      <w:ind w:right="0" w:firstLine="0" w:left="2268"/>
    </w:pPr>
  </w:style>
  <w:style w:type="paragraph" w:styleId="841">
    <w:name w:val="TOC Heading"/>
    <w:uiPriority w:val="39"/>
    <w:unhideWhenUsed/>
    <w:pPr>
      <w:pBdr/>
      <w:spacing/>
      <w:ind/>
    </w:pPr>
  </w:style>
  <w:style w:type="paragraph" w:styleId="842">
    <w:name w:val="table of figures"/>
    <w:basedOn w:val="843"/>
    <w:next w:val="843"/>
    <w:uiPriority w:val="99"/>
    <w:unhideWhenUsed/>
    <w:pPr>
      <w:pBdr/>
      <w:spacing w:after="0" w:afterAutospacing="0"/>
      <w:ind/>
    </w:pPr>
  </w:style>
  <w:style w:type="paragraph" w:styleId="843" w:default="1">
    <w:name w:val="Normal"/>
    <w:qFormat/>
    <w:pPr>
      <w:pBdr/>
      <w:spacing/>
      <w:ind/>
    </w:pPr>
  </w:style>
  <w:style w:type="paragraph" w:styleId="844">
    <w:name w:val="Heading 2"/>
    <w:basedOn w:val="843"/>
    <w:link w:val="848"/>
    <w:uiPriority w:val="9"/>
    <w:qFormat/>
    <w:pPr>
      <w:pBdr/>
      <w:spacing w:after="100" w:afterAutospacing="1" w:before="100" w:beforeAutospacing="1" w:line="240" w:lineRule="auto"/>
      <w:ind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845" w:default="1">
    <w:name w:val="Default Paragraph Font"/>
    <w:uiPriority w:val="1"/>
    <w:semiHidden/>
    <w:unhideWhenUsed/>
    <w:pPr>
      <w:pBdr/>
      <w:spacing/>
      <w:ind/>
    </w:pPr>
  </w:style>
  <w:style w:type="table" w:styleId="84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7" w:default="1">
    <w:name w:val="No List"/>
    <w:uiPriority w:val="99"/>
    <w:semiHidden/>
    <w:unhideWhenUsed/>
    <w:pPr>
      <w:pBdr/>
      <w:spacing/>
      <w:ind/>
    </w:pPr>
  </w:style>
  <w:style w:type="character" w:styleId="848" w:customStyle="1">
    <w:name w:val="Заголовок 2 Знак"/>
    <w:basedOn w:val="845"/>
    <w:link w:val="844"/>
    <w:uiPriority w:val="9"/>
    <w:pPr>
      <w:pBdr/>
      <w:spacing/>
      <w:ind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849">
    <w:name w:val="Normal (Web)"/>
    <w:basedOn w:val="843"/>
    <w:uiPriority w:val="99"/>
    <w:semiHidden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0">
    <w:name w:val="Emphasis"/>
    <w:basedOn w:val="845"/>
    <w:uiPriority w:val="20"/>
    <w:qFormat/>
    <w:pPr>
      <w:pBdr/>
      <w:spacing/>
      <w:ind/>
    </w:pPr>
    <w:rPr>
      <w:i/>
      <w:iCs/>
    </w:rPr>
  </w:style>
  <w:style w:type="character" w:styleId="851">
    <w:name w:val="Strong"/>
    <w:basedOn w:val="845"/>
    <w:uiPriority w:val="22"/>
    <w:qFormat/>
    <w:pPr>
      <w:pBdr/>
      <w:spacing/>
      <w:ind/>
    </w:pPr>
    <w:rPr>
      <w:b/>
      <w:bCs/>
    </w:rPr>
  </w:style>
  <w:style w:type="paragraph" w:styleId="852" w:customStyle="1">
    <w:name w:val="style1"/>
    <w:basedOn w:val="843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3">
    <w:name w:val="Balloon Text"/>
    <w:basedOn w:val="843"/>
    <w:link w:val="854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854" w:customStyle="1">
    <w:name w:val="Текст выноски Знак"/>
    <w:basedOn w:val="845"/>
    <w:link w:val="853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consultantplus://offline/ref=6BA387DD5AA9719112E002FF68F94106FB7274D57BF3A609045BD9EEE42D5330A8067E350F51F5x709B" TargetMode="External"/><Relationship Id="rId11" Type="http://schemas.openxmlformats.org/officeDocument/2006/relationships/hyperlink" Target="https://gosfinansy.ru/group?groupId=113240088&amp;locale=ru&amp;date=2023-11-24T00%3A00%3A00.000&amp;isStatic=false" TargetMode="External"/><Relationship Id="rId12" Type="http://schemas.openxmlformats.org/officeDocument/2006/relationships/hyperlink" Target="https://gosfinansy.ru/group?groupId=103069219&amp;locale=ru&amp;date=2023-11-24T00%3A00%3A00.000&amp;isStatic=false" TargetMode="External"/><Relationship Id="rId13" Type="http://schemas.openxmlformats.org/officeDocument/2006/relationships/hyperlink" Target="https://gosfinansy.ru/group?groupId=397156&amp;locale=ru&amp;date=2023-12-23T00%3A00%3A00.000Z&amp;isStatic=false" TargetMode="External"/><Relationship Id="rId14" Type="http://schemas.openxmlformats.org/officeDocument/2006/relationships/hyperlink" Target="https://gosfinansy.ru/group?groupId=21360420&amp;locale=ru&amp;date=2023-11-22T00%3A00%3A00.000&amp;isStatic=false" TargetMode="External"/><Relationship Id="rId15" Type="http://schemas.openxmlformats.org/officeDocument/2006/relationships/hyperlink" Target="https://gosfinansy.ru/group?groupId=35263741&amp;locale=ru&amp;date=2023-11-22T00%3A00%3A00.000&amp;isStatic=false" TargetMode="External"/><Relationship Id="rId16" Type="http://schemas.openxmlformats.org/officeDocument/2006/relationships/hyperlink" Target="https://gosfinansy.ru/group?groupId=35264041&amp;locale=ru&amp;date=2023-11-22T00%3A00%3A00.000&amp;isStatic=false" TargetMode="External"/><Relationship Id="rId17" Type="http://schemas.openxmlformats.org/officeDocument/2006/relationships/hyperlink" Target="https://gosfinansy.ru/group?groupId=3131206&amp;locale=ru&amp;date=2020-11-30T00%3A00%3A00.000Z&amp;isStatic=false" TargetMode="External"/><Relationship Id="rId18" Type="http://schemas.openxmlformats.org/officeDocument/2006/relationships/hyperlink" Target="https://gosfinansy.ru/group?groupId=4592793&amp;locale=ru&amp;date=2020-09-27T00%3A00%3A00.000Z&amp;isStatic=false" TargetMode="External"/><Relationship Id="rId19" Type="http://schemas.openxmlformats.org/officeDocument/2006/relationships/hyperlink" Target="https://gosfinansy.ru/group?groupId=4592793&amp;locale=ru&amp;date=2020-09-27T00%3A00%3A00.000Z&amp;isStatic=false" TargetMode="External"/><Relationship Id="rId20" Type="http://schemas.openxmlformats.org/officeDocument/2006/relationships/hyperlink" Target="https://gosfinansy.ru/group?groupId=82175180&amp;locale=ru&amp;date=2023-11-22T00%3A00%3A00.000&amp;isStatic=false" TargetMode="External"/><Relationship Id="rId21" Type="http://schemas.openxmlformats.org/officeDocument/2006/relationships/hyperlink" Target="https://gosfinansy.ru/group?groupId=82175180&amp;locale=ru&amp;date=2023-12-31T00%3A00%3A00.000Z&amp;isStatic=false" TargetMode="External"/><Relationship Id="rId22" Type="http://schemas.openxmlformats.org/officeDocument/2006/relationships/hyperlink" Target="https://gosfinansy.ru/group?groupId=100053&amp;locale=ru&amp;date=2023-09-01T00%3A00%3A00.000Z&amp;isStatic=false" TargetMode="External"/><Relationship Id="rId23" Type="http://schemas.openxmlformats.org/officeDocument/2006/relationships/hyperlink" Target="https://gosfinansy.ru/group?groupId=100053&amp;locale=ru&amp;date=2023-09-01T00%3A00%3A00.000Z&amp;isStatic=false" TargetMode="External"/><Relationship Id="rId24" Type="http://schemas.openxmlformats.org/officeDocument/2006/relationships/hyperlink" Target="https://gosfinansy.ru/group?groupId=113240088&amp;locale=ru&amp;date=2023-11-22T00%3A00%3A00.000&amp;isStatic=false" TargetMode="External"/><Relationship Id="rId25" Type="http://schemas.openxmlformats.org/officeDocument/2006/relationships/hyperlink" Target="https://gosfinansy.ru/group?groupId=4850542&amp;locale=ru&amp;date=2023-11-22T00%3A00%3A00.000&amp;isStatic=false" TargetMode="External"/><Relationship Id="rId26" Type="http://schemas.openxmlformats.org/officeDocument/2006/relationships/hyperlink" Target="https://gosfinansy.ru/group?groupId=84649982&amp;locale=ru&amp;date=2023-11-22T00%3A00%3A00.000&amp;isStatic=false" TargetMode="External"/><Relationship Id="rId27" Type="http://schemas.openxmlformats.org/officeDocument/2006/relationships/hyperlink" Target="https://gosfinansy.ru/group?groupId=4592793&amp;locale=ru&amp;date=2020-09-27T00%3A00%3A00.000Z&amp;isStatic=false" TargetMode="External"/><Relationship Id="rId28" Type="http://schemas.openxmlformats.org/officeDocument/2006/relationships/hyperlink" Target="https://gosfinansy.ru/group?groupId=82175180&amp;locale=ru&amp;date=2023-12-31T00%3A00%3A00.000Z&amp;isStatic=false" TargetMode="External"/><Relationship Id="rId29" Type="http://schemas.openxmlformats.org/officeDocument/2006/relationships/hyperlink" Target="https://gosfinansy.ru/group?groupId=84649982&amp;locale=ru&amp;date=2023-11-22T00%3A00%3A00.000&amp;isStatic=false" TargetMode="External"/><Relationship Id="rId30" Type="http://schemas.openxmlformats.org/officeDocument/2006/relationships/hyperlink" Target="https://gosfinansy.ru/group?groupId=89950259&amp;locale=ru&amp;date=2023-11-22T00%3A00%3A00.000&amp;isStatic=false" TargetMode="External"/><Relationship Id="rId31" Type="http://schemas.openxmlformats.org/officeDocument/2006/relationships/hyperlink" Target="https://gosfinansy.ru/group?groupId=381269&amp;locale=ru&amp;date=2011-01-01T00%3A00%3A00.000Z&amp;isStatic=false" TargetMode="External"/><Relationship Id="rId32" Type="http://schemas.openxmlformats.org/officeDocument/2006/relationships/hyperlink" Target="https://gosfinansy.ru/group?groupId=381273&amp;locale=ru&amp;date=2011-01-01T00%3A00%3A00.000Z&amp;isStatic=false" TargetMode="External"/><Relationship Id="rId33" Type="http://schemas.openxmlformats.org/officeDocument/2006/relationships/hyperlink" Target="https://gosfinansy.ru/group?groupId=381274&amp;locale=ru&amp;date=2011-01-01T00%3A00%3A00.000Z&amp;isStatic=false" TargetMode="External"/><Relationship Id="rId34" Type="http://schemas.openxmlformats.org/officeDocument/2006/relationships/hyperlink" Target="https://gosfinansy.ru/group?groupId=381274&amp;locale=ru&amp;date=2011-01-01T00%3A00%3A00.000Z&amp;isStatic=false" TargetMode="External"/><Relationship Id="rId35" Type="http://schemas.openxmlformats.org/officeDocument/2006/relationships/hyperlink" Target="https://gosfinansy.ru/group?groupId=381275&amp;locale=ru&amp;date=2011-01-01T00%3A00%3A00.000Z&amp;isStatic=false" TargetMode="External"/><Relationship Id="rId36" Type="http://schemas.openxmlformats.org/officeDocument/2006/relationships/hyperlink" Target="https://gosfinansy.ru/group?groupId=381276&amp;locale=ru&amp;date=2011-01-01T00%3A00%3A00.000Z&amp;isStatic=false" TargetMode="External"/><Relationship Id="rId37" Type="http://schemas.openxmlformats.org/officeDocument/2006/relationships/hyperlink" Target="https://gosfinansy.ru/group?groupId=381277&amp;locale=ru&amp;date=2011-01-01T00%3A00%3A00.000Z&amp;isStatic=false" TargetMode="External"/><Relationship Id="rId38" Type="http://schemas.openxmlformats.org/officeDocument/2006/relationships/hyperlink" Target="https://gosfinansy.ru/group?groupId=102979656&amp;locale=ru&amp;date=2023-11-22T00%3A00%3A00.000&amp;isStatic=false" TargetMode="External"/><Relationship Id="rId39" Type="http://schemas.openxmlformats.org/officeDocument/2006/relationships/hyperlink" Target="https://gosfinansy.ru/group?groupId=84649989&amp;locale=ru&amp;date=2023-11-22T00%3A00%3A00.000&amp;isStatic=false" TargetMode="External"/><Relationship Id="rId40" Type="http://schemas.openxmlformats.org/officeDocument/2006/relationships/hyperlink" Target="https://gosfinansy.ru/group?groupId=381270&amp;locale=ru&amp;date=2023-11-22T00%3A00%3A00.000&amp;isStatic=false" TargetMode="External"/><Relationship Id="rId41" Type="http://schemas.openxmlformats.org/officeDocument/2006/relationships/hyperlink" Target="https://gosfinansy.ru/group?groupId=381268&amp;locale=ru&amp;date=2023-11-22T00%3A00%3A00.000&amp;isStatic=false" TargetMode="External"/><Relationship Id="rId42" Type="http://schemas.openxmlformats.org/officeDocument/2006/relationships/hyperlink" Target="https://gosfinansy.ru/group?groupId=313971&amp;locale=ru&amp;date=2023-11-22T00%3A00%3A00.000&amp;isStatic=false" TargetMode="External"/><Relationship Id="rId43" Type="http://schemas.openxmlformats.org/officeDocument/2006/relationships/hyperlink" Target="https://gosfinansy.ru/group?groupId=1749&amp;locale=ru&amp;date=2023-11-22T00%3A00%3A00.000&amp;isStatic=false" TargetMode="External"/><Relationship Id="rId44" Type="http://schemas.openxmlformats.org/officeDocument/2006/relationships/hyperlink" Target="https://gosfinansy.ru/group?groupId=381274&amp;locale=ru&amp;date=2011-01-01T00%3A00%3A00.000Z&amp;isStatic=false" TargetMode="External"/><Relationship Id="rId45" Type="http://schemas.openxmlformats.org/officeDocument/2006/relationships/hyperlink" Target="https://gosfinansy.ru/group?groupId=381274&amp;locale=ru&amp;date=2011-01-01T00%3A00%3A00.000Z&amp;isStatic=false" TargetMode="External"/><Relationship Id="rId46" Type="http://schemas.openxmlformats.org/officeDocument/2006/relationships/hyperlink" Target="https://gosfinansy.ru/group?groupId=306987&amp;locale=ru&amp;date=2023-11-22T00%3A00%3A00.000&amp;isStatic=false" TargetMode="External"/><Relationship Id="rId47" Type="http://schemas.openxmlformats.org/officeDocument/2006/relationships/hyperlink" Target="https://gosfinansy.ru/group?groupId=381274&amp;locale=ru&amp;date=2011-01-01T00%3A00%3A00.000Z&amp;isStatic=false" TargetMode="External"/><Relationship Id="rId48" Type="http://schemas.openxmlformats.org/officeDocument/2006/relationships/hyperlink" Target="https://gosfinansy.ru/group?groupId=381274&amp;locale=ru&amp;date=2011-01-01T00%3A00%3A00.000Z&amp;isStatic=false" TargetMode="External"/><Relationship Id="rId49" Type="http://schemas.openxmlformats.org/officeDocument/2006/relationships/hyperlink" Target="https://gosfinansy.ru/group?groupId=381274&amp;locale=ru&amp;date=2011-01-01T00%3A00%3A00.000Z&amp;isStatic=false" TargetMode="External"/><Relationship Id="rId50" Type="http://schemas.openxmlformats.org/officeDocument/2006/relationships/hyperlink" Target="https://gosfinansy.ru/group?groupId=381274&amp;locale=ru&amp;date=2011-01-01T00%3A00%3A00.000Z&amp;isStatic=false" TargetMode="External"/><Relationship Id="rId51" Type="http://schemas.openxmlformats.org/officeDocument/2006/relationships/hyperlink" Target="https://gosfinansy.ru/#/rubric/1/0/0" TargetMode="External"/><Relationship Id="rId52" Type="http://schemas.openxmlformats.org/officeDocument/2006/relationships/hyperlink" Target="https://gosfinansy.ru/#/rubric/1/0/0" TargetMode="External"/><Relationship Id="rId53" Type="http://schemas.openxmlformats.org/officeDocument/2006/relationships/hyperlink" Target="https://gosfinansy.ru/#/rubric/1/0/0" TargetMode="External"/><Relationship Id="rId54" Type="http://schemas.openxmlformats.org/officeDocument/2006/relationships/hyperlink" Target="https://gosfinansy.ru/#/rubric/1/0/0" TargetMode="External"/><Relationship Id="rId55" Type="http://schemas.openxmlformats.org/officeDocument/2006/relationships/hyperlink" Target="https://gosfinansy.ru/group?groupId=15898057&amp;locale=ru&amp;date=2023-11-22T00%3A00%3A00.000&amp;isStatic=false" TargetMode="External"/><Relationship Id="rId56" Type="http://schemas.openxmlformats.org/officeDocument/2006/relationships/hyperlink" Target="https://gosfinansy.ru/#/rubric/1/0/0" TargetMode="External"/><Relationship Id="rId57" Type="http://schemas.openxmlformats.org/officeDocument/2006/relationships/hyperlink" Target="https://gosfinansy.ru/#/rubric/1/0/0" TargetMode="External"/><Relationship Id="rId58" Type="http://schemas.openxmlformats.org/officeDocument/2006/relationships/hyperlink" Target="https://gosfinansy.ru/group?groupId=21297389&amp;locale=ru&amp;date=2023-11-22T00%3A00%3A00.000&amp;isStatic=false" TargetMode="External"/><Relationship Id="rId59" Type="http://schemas.openxmlformats.org/officeDocument/2006/relationships/hyperlink" Target="https://gosfinansy.ru/group?groupId=21297389&amp;locale=ru&amp;date=2023-11-22T00%3A00%3A00.000&amp;isStatic=false" TargetMode="External"/><Relationship Id="rId60" Type="http://schemas.openxmlformats.org/officeDocument/2006/relationships/hyperlink" Target="https://gosfinansy.ru/group?groupId=102979656&amp;locale=ru&amp;date=2023-11-22T00%3A00%3A00.000&amp;isStatic=false" TargetMode="External"/><Relationship Id="rId61" Type="http://schemas.openxmlformats.org/officeDocument/2006/relationships/hyperlink" Target="https://gosfinansy.ru/group?groupId=113240088&amp;locale=ru&amp;date=2023-11-22T00%3A00%3A00.000&amp;isStatic=false" TargetMode="External"/><Relationship Id="rId62" Type="http://schemas.openxmlformats.org/officeDocument/2006/relationships/hyperlink" Target="https://gosfinansy.ru/group?groupId=84649982&amp;locale=ru&amp;date=2023-11-22T00%3A00%3A00.000&amp;isStatic=fals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revision>15</cp:revision>
  <dcterms:created xsi:type="dcterms:W3CDTF">2009-12-29T05:44:00Z</dcterms:created>
  <dcterms:modified xsi:type="dcterms:W3CDTF">2024-07-04T22:30:33Z</dcterms:modified>
</cp:coreProperties>
</file>