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A572DE" w:rsidRPr="00791E0A" w:rsidRDefault="00791E0A" w:rsidP="00791E0A">
      <w:pPr>
        <w:jc w:val="right"/>
        <w:rPr>
          <w:i/>
          <w:color w:val="548DD4" w:themeColor="text2" w:themeTint="99"/>
          <w:sz w:val="28"/>
        </w:rPr>
      </w:pPr>
      <w:proofErr w:type="gramStart"/>
      <w:r w:rsidRPr="00791E0A">
        <w:rPr>
          <w:i/>
          <w:color w:val="CC00FF"/>
          <w:sz w:val="28"/>
        </w:rPr>
        <w:t>Дополнительного соглашения № 3</w:t>
      </w:r>
      <w:r w:rsidRPr="00791E0A">
        <w:rPr>
          <w:i/>
          <w:color w:val="CC00FF"/>
          <w:sz w:val="28"/>
        </w:rPr>
        <w:t xml:space="preserve"> от </w:t>
      </w:r>
      <w:r w:rsidRPr="00791E0A">
        <w:rPr>
          <w:i/>
          <w:color w:val="CC00FF"/>
          <w:sz w:val="28"/>
        </w:rPr>
        <w:t>28</w:t>
      </w:r>
      <w:r w:rsidRPr="00791E0A">
        <w:rPr>
          <w:i/>
          <w:color w:val="CC00FF"/>
          <w:sz w:val="28"/>
        </w:rPr>
        <w:t>.0</w:t>
      </w:r>
      <w:r w:rsidRPr="00791E0A">
        <w:rPr>
          <w:i/>
          <w:color w:val="CC00FF"/>
          <w:sz w:val="28"/>
        </w:rPr>
        <w:t>5</w:t>
      </w:r>
      <w:r w:rsidRPr="00791E0A">
        <w:rPr>
          <w:i/>
          <w:color w:val="CC00FF"/>
          <w:sz w:val="28"/>
        </w:rPr>
        <w:t>.2024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 xml:space="preserve">территориальной программой государственных гарантий бесплатного </w:t>
      </w:r>
      <w:r w:rsidR="0021548B" w:rsidRPr="0006402B">
        <w:rPr>
          <w:sz w:val="28"/>
          <w:szCs w:val="28"/>
        </w:rPr>
        <w:lastRenderedPageBreak/>
        <w:t>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634B71"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634B71"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634B7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634B7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634B71"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634B71"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634B71"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xml:space="preserve">, оказанной медицинской </w:t>
      </w:r>
      <w:r>
        <w:rPr>
          <w:rFonts w:ascii="Times New Roman" w:hAnsi="Times New Roman"/>
          <w:sz w:val="28"/>
          <w:szCs w:val="28"/>
          <w:lang w:val="ru-RU"/>
        </w:rPr>
        <w:lastRenderedPageBreak/>
        <w:t>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634B71"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634B71"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634B71"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634B71"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634B71"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634B71"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w:t>
      </w:r>
      <w:r w:rsidR="0018159D">
        <w:rPr>
          <w:sz w:val="28"/>
          <w:szCs w:val="28"/>
        </w:rPr>
        <w:lastRenderedPageBreak/>
        <w:t xml:space="preserve">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634B71"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634B71"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634B71"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634B71"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634B71"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634B71"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634B71"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lastRenderedPageBreak/>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634B71"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634B71"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634B71"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634B71"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634B71"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634B71"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634B71"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634B71"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634B71"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634B71"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634B71"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634B71"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634B71"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634B71"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634B71"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634B71"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634B71"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634B71"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634B71"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634B71"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634B71"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634B7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634B71"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634B71"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634B71"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634B7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634B71"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634B7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634B7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634B71"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634B71"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634B71"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634B71"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634B71"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634B71"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634B71"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634B71"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634B71"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634B71"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634B7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634B71"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lastRenderedPageBreak/>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 xml:space="preserve">Структурные подразделения медицинской организации, оказывающие медицинскую помощь в стационарных условиях и условиях дневного </w:t>
      </w:r>
      <w:r>
        <w:rPr>
          <w:color w:val="000000" w:themeColor="text1"/>
          <w:sz w:val="28"/>
          <w:szCs w:val="28"/>
        </w:rPr>
        <w:lastRenderedPageBreak/>
        <w:t>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634B71"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634B71"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634B71"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634B71"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634B71"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634B71"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lastRenderedPageBreak/>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634B71"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634B71"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634B71"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634B71"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634B71"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634B71"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634B7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634B7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634B7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634B7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634B7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634B71"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634B7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634B71"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634B71"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634B71"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634B71"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634B71"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634B71"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634B71"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634B71"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634B7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634B7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634B7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634B71"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634B7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634B7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634B71"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634B71"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lastRenderedPageBreak/>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634B71"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634B71"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634B71"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634B71"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634B7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634B7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634B71"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634B71"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634B71"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634B71"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634B71"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 xml:space="preserve">объем средств, направляемых на оплату диспансерного </w:t>
      </w:r>
      <w:r w:rsidR="0093683E">
        <w:rPr>
          <w:rFonts w:ascii="Times New Roman" w:hAnsi="Times New Roman"/>
          <w:sz w:val="28"/>
        </w:rPr>
        <w:lastRenderedPageBreak/>
        <w:t>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634B71"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lastRenderedPageBreak/>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634B71"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634B71"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634B7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634B7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634B71"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lastRenderedPageBreak/>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634B7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634B7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634B7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 xml:space="preserve">размер средств, направленный на финансовое обеспечение </w:t>
      </w:r>
      <w:r w:rsidR="00D758CF" w:rsidRPr="003B7740">
        <w:rPr>
          <w:rFonts w:ascii="Times New Roman" w:hAnsi="Times New Roman" w:cs="Times New Roman"/>
          <w:color w:val="000000" w:themeColor="text1"/>
          <w:sz w:val="28"/>
          <w:szCs w:val="28"/>
        </w:rPr>
        <w:lastRenderedPageBreak/>
        <w:t>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634B71"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634B71"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634B7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634B7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634B71"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634B71"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634B71"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634B71"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634B71"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 xml:space="preserve">средний норматив финансовых затрат на единицу объема медицинской помощи, оказанной в амбулаторных условиях в неотложной </w:t>
      </w:r>
      <w:r w:rsidR="00B42465">
        <w:rPr>
          <w:rFonts w:ascii="Times New Roman" w:hAnsi="Times New Roman"/>
          <w:sz w:val="28"/>
        </w:rPr>
        <w:lastRenderedPageBreak/>
        <w:t>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634B71"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634B7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634B7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634B71"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634B71"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634B71"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634B71"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634B71"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634B71"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634B71"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634B71"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634B71"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lastRenderedPageBreak/>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634B71"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634B71"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lastRenderedPageBreak/>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634B71"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634B71"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634B71"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634B71"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634B71"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634B71"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634B71"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634B71"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lastRenderedPageBreak/>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634B71"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634B71"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634B71"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634B71"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w:t>
      </w:r>
      <w:r w:rsidRPr="00EF0A91">
        <w:rPr>
          <w:rFonts w:ascii="Times New Roman" w:hAnsi="Times New Roman" w:cs="Times New Roman"/>
          <w:bCs/>
          <w:color w:val="000000" w:themeColor="text1"/>
          <w:sz w:val="28"/>
        </w:rPr>
        <w:lastRenderedPageBreak/>
        <w:t xml:space="preserve">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EF0A91" w:rsidRPr="001D3174" w:rsidRDefault="00C95CB1" w:rsidP="00C95CB1">
      <w:pPr>
        <w:ind w:firstLine="708"/>
        <w:jc w:val="both"/>
        <w:rPr>
          <w:bCs/>
          <w:color w:val="000000" w:themeColor="text1"/>
          <w:sz w:val="28"/>
          <w:szCs w:val="28"/>
        </w:rPr>
      </w:pPr>
      <w:r w:rsidRPr="001D3174">
        <w:rPr>
          <w:bCs/>
          <w:color w:val="000000" w:themeColor="text1"/>
          <w:sz w:val="28"/>
          <w:szCs w:val="28"/>
        </w:rPr>
        <w:t xml:space="preserve">– </w:t>
      </w:r>
      <w:r w:rsidR="00D05A59">
        <w:rPr>
          <w:color w:val="000000" w:themeColor="text1"/>
          <w:sz w:val="28"/>
        </w:rPr>
        <w:t>1,4</w:t>
      </w:r>
      <w:r w:rsidRPr="001D3174">
        <w:rPr>
          <w:bCs/>
          <w:color w:val="000000" w:themeColor="text1"/>
          <w:sz w:val="28"/>
          <w:szCs w:val="28"/>
        </w:rPr>
        <w:t xml:space="preserve"> –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5916AB" w:rsidRPr="00791E0A">
        <w:rPr>
          <w:bCs/>
          <w:color w:val="CC00FF"/>
          <w:sz w:val="28"/>
          <w:szCs w:val="28"/>
        </w:rPr>
        <w:t>2,</w:t>
      </w:r>
      <w:r w:rsidR="00BA654A" w:rsidRPr="00791E0A">
        <w:rPr>
          <w:bCs/>
          <w:color w:val="CC00FF"/>
          <w:sz w:val="28"/>
          <w:szCs w:val="28"/>
        </w:rPr>
        <w:t>3</w:t>
      </w:r>
      <w:r w:rsidRPr="00791E0A">
        <w:rPr>
          <w:bCs/>
          <w:color w:val="CC00FF"/>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w:t>
      </w:r>
      <w:r w:rsidR="00791E0A">
        <w:rPr>
          <w:i/>
          <w:color w:val="000000" w:themeColor="text1"/>
          <w:sz w:val="28"/>
          <w:szCs w:val="28"/>
        </w:rPr>
        <w:t>и Дополнительного соглашения № 3</w:t>
      </w:r>
      <w:r w:rsidR="00BA654A">
        <w:rPr>
          <w:i/>
          <w:color w:val="000000" w:themeColor="text1"/>
          <w:sz w:val="28"/>
          <w:szCs w:val="28"/>
        </w:rPr>
        <w:t xml:space="preserve"> от </w:t>
      </w:r>
      <w:r w:rsidR="00791E0A">
        <w:rPr>
          <w:i/>
          <w:color w:val="000000" w:themeColor="text1"/>
          <w:sz w:val="28"/>
          <w:szCs w:val="28"/>
        </w:rPr>
        <w:t>28</w:t>
      </w:r>
      <w:r w:rsidR="00BA654A">
        <w:rPr>
          <w:i/>
          <w:color w:val="000000" w:themeColor="text1"/>
          <w:sz w:val="28"/>
          <w:szCs w:val="28"/>
        </w:rPr>
        <w:t>.0</w:t>
      </w:r>
      <w:r w:rsidR="00791E0A">
        <w:rPr>
          <w:i/>
          <w:color w:val="000000" w:themeColor="text1"/>
          <w:sz w:val="28"/>
          <w:szCs w:val="28"/>
        </w:rPr>
        <w:t>5</w:t>
      </w:r>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791E0A">
        <w:rPr>
          <w:rFonts w:eastAsia="Calibri"/>
          <w:color w:val="CC00FF"/>
          <w:sz w:val="28"/>
          <w:szCs w:val="28"/>
          <w:lang w:eastAsia="en-US"/>
        </w:rPr>
        <w:t>1,</w:t>
      </w:r>
      <w:r w:rsidR="00791E0A" w:rsidRPr="00791E0A">
        <w:rPr>
          <w:rFonts w:eastAsia="Calibri"/>
          <w:color w:val="CC00FF"/>
          <w:sz w:val="28"/>
          <w:szCs w:val="28"/>
          <w:lang w:eastAsia="en-US"/>
        </w:rPr>
        <w:t>5</w:t>
      </w:r>
      <w:r w:rsidRPr="00791E0A">
        <w:rPr>
          <w:rFonts w:eastAsia="Calibri"/>
          <w:color w:val="CC00FF"/>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w:t>
      </w:r>
      <w:proofErr w:type="gramStart"/>
      <w:r w:rsidR="00F47F28">
        <w:rPr>
          <w:i/>
          <w:color w:val="000000" w:themeColor="text1"/>
          <w:sz w:val="28"/>
          <w:szCs w:val="28"/>
        </w:rPr>
        <w:t>в</w:t>
      </w:r>
      <w:proofErr w:type="gramEnd"/>
      <w:r w:rsidR="00F47F28">
        <w:rPr>
          <w:i/>
          <w:color w:val="000000" w:themeColor="text1"/>
          <w:sz w:val="28"/>
          <w:szCs w:val="28"/>
        </w:rPr>
        <w:t xml:space="preserve"> редакции Дополнительного соглашения № </w:t>
      </w:r>
      <w:r w:rsidR="00791E0A">
        <w:rPr>
          <w:i/>
          <w:color w:val="000000" w:themeColor="text1"/>
          <w:sz w:val="28"/>
          <w:szCs w:val="28"/>
        </w:rPr>
        <w:t>3 от 28</w:t>
      </w:r>
      <w:r w:rsidR="00F47F28">
        <w:rPr>
          <w:i/>
          <w:color w:val="000000" w:themeColor="text1"/>
          <w:sz w:val="28"/>
          <w:szCs w:val="28"/>
        </w:rPr>
        <w:t>.0</w:t>
      </w:r>
      <w:r w:rsidR="00791E0A">
        <w:rPr>
          <w:i/>
          <w:color w:val="000000" w:themeColor="text1"/>
          <w:sz w:val="28"/>
          <w:szCs w:val="28"/>
        </w:rPr>
        <w:t>5</w:t>
      </w:r>
      <w:r w:rsidR="00F47F28">
        <w:rPr>
          <w:i/>
          <w:color w:val="000000" w:themeColor="text1"/>
          <w:sz w:val="28"/>
          <w:szCs w:val="28"/>
        </w:rPr>
        <w:t>.2024)</w:t>
      </w:r>
      <w:bookmarkStart w:id="0" w:name="_GoBack"/>
      <w:bookmarkEnd w:id="0"/>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634B71"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634B71"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634B71"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634B71"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w:t>
      </w:r>
      <w:r w:rsidR="00074AC7">
        <w:rPr>
          <w:rFonts w:eastAsiaTheme="minorHAnsi"/>
          <w:sz w:val="28"/>
          <w:szCs w:val="28"/>
          <w:lang w:eastAsia="en-US"/>
        </w:rPr>
        <w:lastRenderedPageBreak/>
        <w:t>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634B71"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634B71"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634B71"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634B71"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634B71"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634B71"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634B71"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634B71"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634B71"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634B71"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634B71"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634B7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634B71"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634B7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634B71"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lastRenderedPageBreak/>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w:t>
      </w:r>
      <w:r>
        <w:rPr>
          <w:bCs/>
          <w:sz w:val="28"/>
          <w:szCs w:val="28"/>
        </w:rPr>
        <w:lastRenderedPageBreak/>
        <w:t xml:space="preserve">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w:t>
      </w:r>
      <w:r w:rsidR="005F276E" w:rsidRPr="00A34D9B">
        <w:rPr>
          <w:bCs/>
          <w:sz w:val="28"/>
          <w:szCs w:val="28"/>
        </w:rPr>
        <w:lastRenderedPageBreak/>
        <w:t xml:space="preserve">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w:t>
      </w:r>
      <w:r w:rsidRPr="002B2B6D">
        <w:rPr>
          <w:sz w:val="28"/>
          <w:szCs w:val="20"/>
        </w:rPr>
        <w:lastRenderedPageBreak/>
        <w:t xml:space="preserve">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634B71"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634B7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634B71"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634B7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634B7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634B71"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634B7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634B7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634B71"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634B71"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634B7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634B7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634B7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634B71"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634B71"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634B71"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634B7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634B71"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634B71"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634B7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634B7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634B71"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634B71"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634B71"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634B71"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lastRenderedPageBreak/>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B71" w:rsidRDefault="00634B71" w:rsidP="00A6157B">
      <w:r>
        <w:separator/>
      </w:r>
    </w:p>
  </w:endnote>
  <w:endnote w:type="continuationSeparator" w:id="0">
    <w:p w:rsidR="00634B71" w:rsidRDefault="00634B71"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B71" w:rsidRDefault="00634B71" w:rsidP="00A6157B">
      <w:r>
        <w:separator/>
      </w:r>
    </w:p>
  </w:footnote>
  <w:footnote w:type="continuationSeparator" w:id="0">
    <w:p w:rsidR="00634B71" w:rsidRDefault="00634B71"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791E0A">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4AACC-32F4-4004-BA49-68D7833D3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36</Pages>
  <Words>11710</Words>
  <Characters>66750</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10</cp:revision>
  <cp:lastPrinted>2024-02-08T05:48:00Z</cp:lastPrinted>
  <dcterms:created xsi:type="dcterms:W3CDTF">2024-02-08T01:34:00Z</dcterms:created>
  <dcterms:modified xsi:type="dcterms:W3CDTF">2024-05-31T00:52:00Z</dcterms:modified>
</cp:coreProperties>
</file>